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F34DEA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30D64">
        <w:rPr>
          <w:bCs/>
          <w:noProof w:val="0"/>
          <w:sz w:val="24"/>
          <w:szCs w:val="24"/>
        </w:rPr>
        <w:t>6</w:t>
      </w:r>
      <w:r w:rsidRPr="00B266B0">
        <w:rPr>
          <w:bCs/>
          <w:noProof w:val="0"/>
          <w:sz w:val="24"/>
          <w:szCs w:val="24"/>
        </w:rPr>
        <w:tab/>
      </w:r>
      <w:r w:rsidR="00B50369">
        <w:rPr>
          <w:bCs/>
          <w:noProof w:val="0"/>
          <w:sz w:val="24"/>
          <w:szCs w:val="24"/>
        </w:rPr>
        <w:t>R2-</w:t>
      </w:r>
      <w:r w:rsidR="000A0E5C">
        <w:rPr>
          <w:bCs/>
          <w:noProof w:val="0"/>
          <w:sz w:val="24"/>
          <w:szCs w:val="24"/>
        </w:rPr>
        <w:t>2</w:t>
      </w:r>
      <w:r w:rsidR="00D65EA7">
        <w:rPr>
          <w:bCs/>
          <w:noProof w:val="0"/>
          <w:sz w:val="24"/>
          <w:szCs w:val="24"/>
        </w:rPr>
        <w:t>40</w:t>
      </w:r>
      <w:r w:rsidR="00313FE1">
        <w:rPr>
          <w:bCs/>
          <w:noProof w:val="0"/>
          <w:sz w:val="24"/>
          <w:szCs w:val="24"/>
        </w:rPr>
        <w:t>5529</w:t>
      </w:r>
    </w:p>
    <w:p w14:paraId="11776FA6" w14:textId="74552967" w:rsidR="00A209D6" w:rsidRPr="00465587" w:rsidRDefault="00830D64" w:rsidP="00A209D6">
      <w:pPr>
        <w:pStyle w:val="Header"/>
        <w:tabs>
          <w:tab w:val="right" w:pos="9639"/>
        </w:tabs>
        <w:rPr>
          <w:bCs/>
          <w:sz w:val="24"/>
          <w:szCs w:val="24"/>
          <w:lang w:eastAsia="zh-CN"/>
        </w:rPr>
      </w:pPr>
      <w:r>
        <w:rPr>
          <w:bCs/>
          <w:sz w:val="24"/>
          <w:szCs w:val="24"/>
          <w:lang w:eastAsia="zh-CN"/>
        </w:rPr>
        <w:t>Fukuoka, Japan</w:t>
      </w:r>
      <w:r w:rsidR="006574C0" w:rsidRPr="006574C0">
        <w:rPr>
          <w:bCs/>
          <w:sz w:val="24"/>
          <w:szCs w:val="24"/>
          <w:lang w:eastAsia="zh-CN"/>
        </w:rPr>
        <w:t xml:space="preserve">, </w:t>
      </w:r>
      <w:r>
        <w:rPr>
          <w:bCs/>
          <w:sz w:val="24"/>
          <w:szCs w:val="24"/>
          <w:lang w:eastAsia="zh-CN"/>
        </w:rPr>
        <w:t>20</w:t>
      </w:r>
      <w:r w:rsidR="001474A4">
        <w:rPr>
          <w:bCs/>
          <w:sz w:val="24"/>
          <w:szCs w:val="24"/>
          <w:vertAlign w:val="superscript"/>
          <w:lang w:eastAsia="zh-CN"/>
        </w:rPr>
        <w:t>t</w:t>
      </w:r>
      <w:r w:rsidR="00121B78">
        <w:rPr>
          <w:bCs/>
          <w:sz w:val="24"/>
          <w:szCs w:val="24"/>
          <w:vertAlign w:val="superscript"/>
          <w:lang w:eastAsia="zh-CN"/>
        </w:rPr>
        <w:t>h</w:t>
      </w:r>
      <w:r w:rsidR="002B1D88">
        <w:rPr>
          <w:bCs/>
          <w:sz w:val="24"/>
          <w:szCs w:val="24"/>
          <w:lang w:eastAsia="zh-CN"/>
        </w:rPr>
        <w:t xml:space="preserve"> </w:t>
      </w:r>
      <w:r>
        <w:rPr>
          <w:bCs/>
          <w:sz w:val="24"/>
          <w:szCs w:val="24"/>
          <w:lang w:eastAsia="zh-CN"/>
        </w:rPr>
        <w:t>April</w:t>
      </w:r>
      <w:r w:rsidR="00501DFB">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24</w:t>
      </w:r>
      <w:r>
        <w:rPr>
          <w:bCs/>
          <w:sz w:val="24"/>
          <w:szCs w:val="24"/>
          <w:vertAlign w:val="superscript"/>
          <w:lang w:eastAsia="zh-CN"/>
        </w:rPr>
        <w:t>th</w:t>
      </w:r>
      <w:r>
        <w:rPr>
          <w:bCs/>
          <w:sz w:val="24"/>
          <w:szCs w:val="24"/>
          <w:lang w:eastAsia="zh-CN"/>
        </w:rPr>
        <w:t xml:space="preserve"> April</w:t>
      </w:r>
      <w:r w:rsidR="00B46E85">
        <w:rPr>
          <w:bCs/>
          <w:sz w:val="24"/>
          <w:szCs w:val="24"/>
          <w:lang w:eastAsia="zh-CN"/>
        </w:rPr>
        <w:t>,</w:t>
      </w:r>
      <w:r w:rsidR="006E1057" w:rsidRPr="006E1057">
        <w:rPr>
          <w:bCs/>
          <w:sz w:val="24"/>
          <w:szCs w:val="24"/>
          <w:lang w:eastAsia="zh-CN"/>
        </w:rPr>
        <w:t xml:space="preserve"> 202</w:t>
      </w:r>
      <w:r w:rsidR="00501DFB">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448A23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0F355D">
        <w:rPr>
          <w:rFonts w:cs="Arial"/>
          <w:b/>
          <w:bCs/>
          <w:sz w:val="24"/>
        </w:rPr>
        <w:t>25.1</w:t>
      </w:r>
      <w:r w:rsidR="00647056">
        <w:rPr>
          <w:rFonts w:cs="Arial"/>
          <w:b/>
          <w:bCs/>
          <w:sz w:val="24"/>
        </w:rPr>
        <w:t>.6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75D4F3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30D64">
        <w:rPr>
          <w:rFonts w:eastAsia="SimSun"/>
          <w:b/>
          <w:bCs/>
          <w:sz w:val="24"/>
          <w:szCs w:val="20"/>
          <w:lang w:val="en-GB" w:eastAsia="en-US"/>
        </w:rPr>
        <w:t>Clarifications for ATG timing advance reporting procedures</w:t>
      </w:r>
    </w:p>
    <w:p w14:paraId="1F147C23" w14:textId="2D93B2F9"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97B27">
        <w:rPr>
          <w:rFonts w:eastAsia="SimSun"/>
          <w:b/>
          <w:bCs/>
          <w:sz w:val="24"/>
          <w:szCs w:val="20"/>
          <w:lang w:val="en-GB" w:eastAsia="en-US"/>
        </w:rPr>
        <w:t>NR_ATG</w:t>
      </w:r>
      <w:r w:rsidR="00AD2C67">
        <w:rPr>
          <w:rFonts w:eastAsia="SimSun"/>
          <w:b/>
          <w:bCs/>
          <w:sz w:val="24"/>
          <w:szCs w:val="20"/>
          <w:lang w:val="en-GB" w:eastAsia="en-US"/>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1F7DACBB" w:rsidR="00F00A10" w:rsidRDefault="00590344" w:rsidP="00F00A10">
      <w:r>
        <w:t>In RAN#</w:t>
      </w:r>
      <w:r w:rsidR="009E5063">
        <w:t>95</w:t>
      </w:r>
      <w:r w:rsidR="002541E6">
        <w:t>-</w:t>
      </w:r>
      <w:r w:rsidR="00CD7B63">
        <w:t>e</w:t>
      </w:r>
      <w:r w:rsidR="00542C9D">
        <w:t xml:space="preserve"> the </w:t>
      </w:r>
      <w:r w:rsidR="001474A4">
        <w:t>W</w:t>
      </w:r>
      <w:r w:rsidR="002541E6">
        <w:t xml:space="preserve">ID for </w:t>
      </w:r>
      <w:r w:rsidR="001474A4">
        <w:t>Air-to-Ground</w:t>
      </w:r>
      <w:r w:rsidR="002541E6">
        <w:t xml:space="preserve"> </w:t>
      </w:r>
      <w:r>
        <w:t>was agreed</w:t>
      </w:r>
      <w:r w:rsidR="009E5063">
        <w:t>. The work item is a RAN4-exclusive work item</w:t>
      </w:r>
      <w:r w:rsidR="00CD7B63">
        <w:t xml:space="preserve"> </w:t>
      </w:r>
      <w:r w:rsidR="00542C9D">
        <w:t xml:space="preserve">and the latest WID </w:t>
      </w:r>
      <w:r w:rsidR="000F355D">
        <w:t>can be seen below</w:t>
      </w:r>
      <w:r w:rsidR="009E5063">
        <w:t xml:space="preserve"> [1]</w:t>
      </w:r>
      <w:r w:rsidR="000F355D">
        <w:t>. Further</w:t>
      </w:r>
      <w:r w:rsidR="0081574B">
        <w:t>more, the work is captured in</w:t>
      </w:r>
      <w:r w:rsidR="000F355D">
        <w:t xml:space="preserve"> 38.876</w:t>
      </w:r>
      <w:r w:rsidR="000612FF">
        <w:t xml:space="preserve"> [2]</w:t>
      </w:r>
      <w:r w:rsidR="000F355D">
        <w:t xml:space="preserve">. </w:t>
      </w:r>
      <w:r w:rsidR="00760805">
        <w:t xml:space="preserve">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6A67D98" w14:textId="77777777" w:rsidR="009E5063" w:rsidRPr="005140FD" w:rsidRDefault="009E5063" w:rsidP="009E5063">
            <w:pPr>
              <w:rPr>
                <w:bCs/>
                <w:lang w:eastAsia="zh-CN"/>
              </w:rPr>
            </w:pPr>
            <w:r w:rsidRPr="005140FD">
              <w:rPr>
                <w:rFonts w:hint="eastAsia"/>
                <w:bCs/>
                <w:lang w:eastAsia="zh-CN"/>
              </w:rPr>
              <w:t>T</w:t>
            </w:r>
            <w:r w:rsidRPr="005140FD">
              <w:rPr>
                <w:bCs/>
                <w:lang w:eastAsia="zh-CN"/>
              </w:rPr>
              <w:t>he core part of this work item includes</w:t>
            </w:r>
          </w:p>
          <w:p w14:paraId="0C2CDCBB" w14:textId="77777777" w:rsidR="009E5063" w:rsidRPr="001A6BD8" w:rsidRDefault="009E5063" w:rsidP="009E5063">
            <w:pPr>
              <w:widowControl w:val="0"/>
              <w:numPr>
                <w:ilvl w:val="0"/>
                <w:numId w:val="21"/>
              </w:numPr>
              <w:spacing w:after="0"/>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301CA15D"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 xml:space="preserve">Scenario: </w:t>
            </w:r>
          </w:p>
          <w:p w14:paraId="556745CD"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BS on the ground, and the CPE type of UE mounted in the aircraft</w:t>
            </w:r>
          </w:p>
          <w:p w14:paraId="75ED9B37" w14:textId="77777777" w:rsidR="009E5063" w:rsidRDefault="009E5063" w:rsidP="009E5063">
            <w:pPr>
              <w:widowControl w:val="0"/>
              <w:numPr>
                <w:ilvl w:val="2"/>
                <w:numId w:val="21"/>
              </w:numPr>
              <w:spacing w:after="0"/>
              <w:jc w:val="both"/>
              <w:rPr>
                <w:kern w:val="2"/>
                <w:lang w:eastAsia="zh-CN"/>
              </w:rPr>
            </w:pPr>
            <w:r w:rsidRPr="001A6BD8">
              <w:rPr>
                <w:kern w:val="2"/>
                <w:lang w:eastAsia="zh-CN"/>
              </w:rPr>
              <w:t>A direct radio link between BS on the ground and CPE type of UE mounted in the aircraft</w:t>
            </w:r>
          </w:p>
          <w:p w14:paraId="376893B4" w14:textId="77777777" w:rsidR="009E5063" w:rsidRPr="00767640" w:rsidRDefault="009E5063" w:rsidP="009E5063">
            <w:pPr>
              <w:widowControl w:val="0"/>
              <w:numPr>
                <w:ilvl w:val="2"/>
                <w:numId w:val="21"/>
              </w:numPr>
              <w:spacing w:after="0"/>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41F72AA5"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Specify core requirements for coexistence between ATG and IMT terrestrial network</w:t>
            </w:r>
          </w:p>
          <w:p w14:paraId="422BD60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Example bands include n1, n78 and n79.</w:t>
            </w:r>
          </w:p>
          <w:p w14:paraId="26BDCAF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Perform FR1 co-existence evaluation for ATG network (e.g. ACLR, ACS)</w:t>
            </w:r>
          </w:p>
          <w:p w14:paraId="5A1F4C93"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7DC9991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Aim to reuse existing requirements for BS and UE where possible, e.g.,</w:t>
            </w:r>
          </w:p>
          <w:p w14:paraId="3A03D516" w14:textId="77777777" w:rsidR="009E5063" w:rsidRPr="001A6BD8" w:rsidRDefault="009E5063" w:rsidP="009E5063">
            <w:pPr>
              <w:widowControl w:val="0"/>
              <w:numPr>
                <w:ilvl w:val="4"/>
                <w:numId w:val="21"/>
              </w:numPr>
              <w:spacing w:after="0"/>
              <w:jc w:val="both"/>
              <w:rPr>
                <w:kern w:val="2"/>
                <w:lang w:eastAsia="zh-CN"/>
              </w:rPr>
            </w:pPr>
            <w:r w:rsidRPr="001A6BD8">
              <w:rPr>
                <w:kern w:val="2"/>
                <w:lang w:eastAsia="zh-CN"/>
              </w:rPr>
              <w:t>Reuse TN BS requirements for ATG BS</w:t>
            </w:r>
          </w:p>
          <w:p w14:paraId="40128808"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RF requirements for ATG UE/BS</w:t>
            </w:r>
          </w:p>
          <w:p w14:paraId="21F968F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results of co-existence simulations in terms of impact on emissions and RX requirements, cell sizes and link budgets, technology capabilities, likely BS and UE architectures and other relevant aspects.</w:t>
            </w:r>
          </w:p>
          <w:p w14:paraId="783D495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62344901"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BS type 1-C/1-H/1-O and specify the requirements</w:t>
            </w:r>
          </w:p>
          <w:p w14:paraId="0AE18B80"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conductive requirements for UE</w:t>
            </w:r>
          </w:p>
          <w:p w14:paraId="09B162B4"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5244584"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0B8BC6A7"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C50A526"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new UE/BS type(s) for ATG network if necessary</w:t>
            </w:r>
          </w:p>
          <w:p w14:paraId="6BB493DC" w14:textId="29C86D45" w:rsidR="00646E0A" w:rsidRPr="00646E0A" w:rsidRDefault="00646E0A" w:rsidP="009E5063">
            <w:pPr>
              <w:pStyle w:val="ListParagraph"/>
              <w:ind w:left="0"/>
              <w:rPr>
                <w:rFonts w:eastAsia="SimSun"/>
                <w:lang w:eastAsia="zh-CN"/>
              </w:rPr>
            </w:pPr>
          </w:p>
        </w:tc>
      </w:tr>
    </w:tbl>
    <w:p w14:paraId="79C025B9" w14:textId="5B741FB1" w:rsidR="00760805" w:rsidRDefault="00760805" w:rsidP="00F00A10"/>
    <w:p w14:paraId="50ACF2F5" w14:textId="4F45D50B" w:rsidR="00216998" w:rsidRDefault="00441257" w:rsidP="00F00A10">
      <w:r>
        <w:t xml:space="preserve">In this contribution we </w:t>
      </w:r>
      <w:r w:rsidR="001518AE">
        <w:t xml:space="preserve">discuss </w:t>
      </w:r>
      <w:r w:rsidR="00420CC4">
        <w:t xml:space="preserve">corrections to ATG. </w:t>
      </w:r>
    </w:p>
    <w:p w14:paraId="51ABF603" w14:textId="673421BA" w:rsidR="00DC6A61" w:rsidRDefault="00DC6A61" w:rsidP="00B7538C">
      <w:pPr>
        <w:pStyle w:val="Heading1"/>
      </w:pPr>
      <w:r>
        <w:t>Discussion</w:t>
      </w:r>
    </w:p>
    <w:p w14:paraId="4426C409" w14:textId="721FA7F3" w:rsidR="00F21514" w:rsidRDefault="00F21514" w:rsidP="00291254">
      <w:pPr>
        <w:pStyle w:val="PatentBody"/>
        <w:numPr>
          <w:ilvl w:val="0"/>
          <w:numId w:val="0"/>
        </w:numPr>
        <w:spacing w:after="180" w:line="240" w:lineRule="auto"/>
        <w:jc w:val="both"/>
        <w:rPr>
          <w:sz w:val="20"/>
        </w:rPr>
      </w:pPr>
    </w:p>
    <w:p w14:paraId="3858DF33" w14:textId="213C0151" w:rsidR="00F21514" w:rsidRDefault="00830D64" w:rsidP="00F21514">
      <w:pPr>
        <w:pStyle w:val="Heading2"/>
      </w:pPr>
      <w:r>
        <w:t>Bandwidth part operation</w:t>
      </w:r>
    </w:p>
    <w:p w14:paraId="46C3D39E" w14:textId="2B796392" w:rsidR="00FF25A8" w:rsidRDefault="00942AA6" w:rsidP="00291254">
      <w:pPr>
        <w:pStyle w:val="PatentBody"/>
        <w:numPr>
          <w:ilvl w:val="0"/>
          <w:numId w:val="0"/>
        </w:numPr>
        <w:spacing w:after="180" w:line="240" w:lineRule="auto"/>
        <w:jc w:val="both"/>
        <w:rPr>
          <w:sz w:val="20"/>
        </w:rPr>
      </w:pPr>
      <w:r>
        <w:rPr>
          <w:sz w:val="20"/>
        </w:rPr>
        <w:t xml:space="preserve">In NR release 15, the concept of Bandwidth Part operation was introduced to allow for allocating a UE with chunk of the bandwidth to allow for more flexible bandwidth management. </w:t>
      </w:r>
    </w:p>
    <w:p w14:paraId="0E08CD17" w14:textId="0BF3CE4A" w:rsidR="004C6AC1" w:rsidRDefault="004C6AC1" w:rsidP="00291254">
      <w:pPr>
        <w:pStyle w:val="PatentBody"/>
        <w:numPr>
          <w:ilvl w:val="0"/>
          <w:numId w:val="0"/>
        </w:numPr>
        <w:spacing w:after="180" w:line="240" w:lineRule="auto"/>
        <w:jc w:val="both"/>
        <w:rPr>
          <w:sz w:val="20"/>
        </w:rPr>
      </w:pPr>
      <w:r>
        <w:rPr>
          <w:sz w:val="20"/>
        </w:rPr>
        <w:lastRenderedPageBreak/>
        <w:t xml:space="preserve">A Bandwidth </w:t>
      </w:r>
      <w:r w:rsidR="005D3808">
        <w:rPr>
          <w:sz w:val="20"/>
        </w:rPr>
        <w:t xml:space="preserve">Part configuration consist of a location in frequency, a bandwidth and subcarrier spacing. A downlink BWP may be configured with a PDCCH, PDSCH, SPS and an RLM </w:t>
      </w:r>
      <w:r w:rsidR="005B3FCE">
        <w:rPr>
          <w:sz w:val="20"/>
        </w:rPr>
        <w:t xml:space="preserve">BWP-specific </w:t>
      </w:r>
      <w:r w:rsidR="005D3808">
        <w:rPr>
          <w:sz w:val="20"/>
        </w:rPr>
        <w:t>configuration. An uplink BWP may be configured with a RACH, PUSCH</w:t>
      </w:r>
      <w:r w:rsidR="00D10336">
        <w:rPr>
          <w:sz w:val="20"/>
        </w:rPr>
        <w:t>,</w:t>
      </w:r>
      <w:r w:rsidR="005D3808">
        <w:rPr>
          <w:sz w:val="20"/>
        </w:rPr>
        <w:t xml:space="preserve"> PUCCH</w:t>
      </w:r>
      <w:r w:rsidR="00B66368">
        <w:rPr>
          <w:sz w:val="20"/>
        </w:rPr>
        <w:t>, CG,</w:t>
      </w:r>
      <w:r w:rsidR="00D10336">
        <w:rPr>
          <w:sz w:val="20"/>
        </w:rPr>
        <w:t xml:space="preserve"> SRS</w:t>
      </w:r>
      <w:r w:rsidR="00B66368">
        <w:rPr>
          <w:sz w:val="20"/>
        </w:rPr>
        <w:t xml:space="preserve"> and BFR</w:t>
      </w:r>
      <w:r w:rsidR="005D3808">
        <w:rPr>
          <w:sz w:val="20"/>
        </w:rPr>
        <w:t xml:space="preserve"> </w:t>
      </w:r>
      <w:r w:rsidR="005B3FCE">
        <w:rPr>
          <w:sz w:val="20"/>
        </w:rPr>
        <w:t xml:space="preserve">BWP-specific </w:t>
      </w:r>
      <w:r w:rsidR="005D3808">
        <w:rPr>
          <w:sz w:val="20"/>
        </w:rPr>
        <w:t xml:space="preserve">configuration.  </w:t>
      </w:r>
    </w:p>
    <w:p w14:paraId="233DB724" w14:textId="45A80417" w:rsidR="00B66368" w:rsidRDefault="00B66368" w:rsidP="00291254">
      <w:pPr>
        <w:pStyle w:val="PatentBody"/>
        <w:numPr>
          <w:ilvl w:val="0"/>
          <w:numId w:val="0"/>
        </w:numPr>
        <w:spacing w:after="180" w:line="240" w:lineRule="auto"/>
        <w:jc w:val="both"/>
        <w:rPr>
          <w:sz w:val="20"/>
        </w:rPr>
      </w:pPr>
      <w:r>
        <w:rPr>
          <w:sz w:val="20"/>
        </w:rPr>
        <w:t xml:space="preserve">There are a maximum of 4 DL/UL BWPs, with one of the BWPs being the initial BWP, which is used when the UE accesses the network. The remaining BWPs can be dedicatedly configured. </w:t>
      </w:r>
    </w:p>
    <w:p w14:paraId="58CFE5B3" w14:textId="57C558F3" w:rsidR="00B56D0D" w:rsidRDefault="00B56D0D" w:rsidP="00291254">
      <w:pPr>
        <w:pStyle w:val="PatentBody"/>
        <w:numPr>
          <w:ilvl w:val="0"/>
          <w:numId w:val="0"/>
        </w:numPr>
        <w:spacing w:after="180" w:line="240" w:lineRule="auto"/>
        <w:jc w:val="both"/>
        <w:rPr>
          <w:sz w:val="20"/>
        </w:rPr>
      </w:pPr>
      <w:r>
        <w:rPr>
          <w:sz w:val="20"/>
        </w:rPr>
        <w:t>Bandwidth part switching is either done by the network or the UE</w:t>
      </w:r>
      <w:r w:rsidR="00B66368">
        <w:rPr>
          <w:sz w:val="20"/>
        </w:rPr>
        <w:t xml:space="preserve">. The network can use PDCCH to </w:t>
      </w:r>
      <w:r w:rsidR="00E94D28">
        <w:rPr>
          <w:sz w:val="20"/>
        </w:rPr>
        <w:t>dynamically switch between the configured</w:t>
      </w:r>
      <w:r w:rsidR="00B66368">
        <w:rPr>
          <w:sz w:val="20"/>
        </w:rPr>
        <w:t xml:space="preserve"> BWPs. The UE can only switch from non-initial BWP to initial BWP for some specific cases, such as to perform random access, certain failures, etc. </w:t>
      </w:r>
    </w:p>
    <w:p w14:paraId="1BD491F9" w14:textId="46164D56" w:rsidR="00830D64" w:rsidRDefault="00830D64" w:rsidP="00830D64">
      <w:pPr>
        <w:pStyle w:val="Heading2"/>
      </w:pPr>
      <w:r>
        <w:t>Handling BWP switch</w:t>
      </w:r>
      <w:r w:rsidR="00C15547">
        <w:t>ing</w:t>
      </w:r>
      <w:r>
        <w:t xml:space="preserve"> in ATG network</w:t>
      </w:r>
    </w:p>
    <w:p w14:paraId="0A3285F5" w14:textId="2A706ED0" w:rsidR="0064295B" w:rsidRDefault="004C6AC1" w:rsidP="00291254">
      <w:pPr>
        <w:pStyle w:val="PatentBody"/>
        <w:numPr>
          <w:ilvl w:val="0"/>
          <w:numId w:val="0"/>
        </w:numPr>
        <w:spacing w:after="180" w:line="240" w:lineRule="auto"/>
        <w:jc w:val="both"/>
        <w:rPr>
          <w:sz w:val="20"/>
        </w:rPr>
      </w:pPr>
      <w:r>
        <w:rPr>
          <w:sz w:val="20"/>
        </w:rPr>
        <w:t>As explained above, a UE may be configured with BWPs that have different SCSes in</w:t>
      </w:r>
      <w:r w:rsidR="003E6DE3">
        <w:rPr>
          <w:sz w:val="20"/>
        </w:rPr>
        <w:t xml:space="preserve"> the same</w:t>
      </w:r>
      <w:r>
        <w:rPr>
          <w:sz w:val="20"/>
        </w:rPr>
        <w:t xml:space="preserve"> cell. </w:t>
      </w:r>
      <w:r w:rsidR="00B56D0D">
        <w:rPr>
          <w:sz w:val="20"/>
        </w:rPr>
        <w:t xml:space="preserve">Thus when the UE or the network switches between </w:t>
      </w:r>
      <w:r w:rsidR="00C15547">
        <w:rPr>
          <w:sz w:val="20"/>
        </w:rPr>
        <w:t xml:space="preserve">different BWPs, the SCS may change dynamically. </w:t>
      </w:r>
      <w:r w:rsidR="00911631">
        <w:rPr>
          <w:sz w:val="20"/>
        </w:rPr>
        <w:t xml:space="preserve">For this purpose, a lot of the configurations that depend on the SCS are configured per BWP. </w:t>
      </w:r>
    </w:p>
    <w:p w14:paraId="6AF146B8" w14:textId="45F82FAF" w:rsidR="00911631" w:rsidRPr="00494952" w:rsidRDefault="00911631" w:rsidP="00911631">
      <w:pPr>
        <w:jc w:val="both"/>
        <w:rPr>
          <w:b/>
        </w:rPr>
      </w:pPr>
      <w:r>
        <w:rPr>
          <w:b/>
        </w:rPr>
        <w:t>Observation 1: The SCS may change dynamically</w:t>
      </w:r>
      <w:r w:rsidR="0003008A">
        <w:rPr>
          <w:b/>
        </w:rPr>
        <w:t xml:space="preserve"> with BWP switching</w:t>
      </w:r>
      <w:r>
        <w:rPr>
          <w:b/>
        </w:rPr>
        <w:t xml:space="preserve">. </w:t>
      </w:r>
    </w:p>
    <w:p w14:paraId="2C104C45" w14:textId="2F03C5A1" w:rsidR="00911631" w:rsidRDefault="00911631" w:rsidP="00291254">
      <w:pPr>
        <w:pStyle w:val="PatentBody"/>
        <w:numPr>
          <w:ilvl w:val="0"/>
          <w:numId w:val="0"/>
        </w:numPr>
        <w:spacing w:after="180" w:line="240" w:lineRule="auto"/>
        <w:jc w:val="both"/>
        <w:rPr>
          <w:sz w:val="20"/>
        </w:rPr>
      </w:pPr>
      <w:r>
        <w:rPr>
          <w:sz w:val="20"/>
        </w:rPr>
        <w:t xml:space="preserve">In ATG, some configurations are dependent on the SCS, which represent scheduling delays, thresholds or similar which are used to model absolute delays in an ATG network. This poses some issues if the SCS changes dynamically. </w:t>
      </w:r>
    </w:p>
    <w:p w14:paraId="3392BA9B" w14:textId="7B9B4F59" w:rsidR="00911631" w:rsidRDefault="00911631" w:rsidP="00291254">
      <w:pPr>
        <w:pStyle w:val="PatentBody"/>
        <w:numPr>
          <w:ilvl w:val="0"/>
          <w:numId w:val="0"/>
        </w:numPr>
        <w:spacing w:after="180" w:line="240" w:lineRule="auto"/>
        <w:jc w:val="both"/>
        <w:rPr>
          <w:sz w:val="20"/>
        </w:rPr>
      </w:pPr>
      <w:r>
        <w:rPr>
          <w:sz w:val="20"/>
        </w:rPr>
        <w:t xml:space="preserve">As an example, consider the case of </w:t>
      </w:r>
      <w:r w:rsidRPr="00961E4E">
        <w:rPr>
          <w:i/>
          <w:sz w:val="20"/>
        </w:rPr>
        <w:t>offsetThresholdTA</w:t>
      </w:r>
      <w:r w:rsidR="00214A0D">
        <w:rPr>
          <w:i/>
          <w:sz w:val="20"/>
        </w:rPr>
        <w:t>-r18</w:t>
      </w:r>
      <w:r>
        <w:rPr>
          <w:sz w:val="20"/>
        </w:rPr>
        <w:t xml:space="preserve"> for ATG</w:t>
      </w:r>
      <w:r w:rsidR="00620592">
        <w:rPr>
          <w:sz w:val="20"/>
        </w:rPr>
        <w:t xml:space="preserve"> [3]</w:t>
      </w:r>
      <w:r>
        <w:rPr>
          <w:sz w:val="20"/>
        </w:rPr>
        <w:t xml:space="preserve">: </w:t>
      </w:r>
    </w:p>
    <w:p w14:paraId="2A082EBD" w14:textId="0345236C" w:rsidR="00054CB8" w:rsidRPr="00054CB8" w:rsidRDefault="00054CB8" w:rsidP="00054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54CB8">
        <w:rPr>
          <w:rFonts w:ascii="Courier New" w:eastAsia="Times New Roman" w:hAnsi="Courier New" w:cs="Times New Roman"/>
          <w:noProof/>
          <w:sz w:val="16"/>
          <w:szCs w:val="20"/>
          <w:lang w:val="en-GB"/>
        </w:rPr>
        <w:t>TAR-Config-r1</w:t>
      </w:r>
      <w:r w:rsidRPr="00054CB8">
        <w:rPr>
          <w:rFonts w:ascii="Courier New" w:eastAsia="SimSun" w:hAnsi="Courier New" w:cs="Times New Roman"/>
          <w:noProof/>
          <w:sz w:val="16"/>
          <w:szCs w:val="20"/>
          <w:lang w:val="en-GB"/>
        </w:rPr>
        <w:t>8</w:t>
      </w:r>
      <w:r>
        <w:rPr>
          <w:rFonts w:ascii="Courier New" w:eastAsia="Times New Roman" w:hAnsi="Courier New" w:cs="Times New Roman"/>
          <w:noProof/>
          <w:sz w:val="16"/>
          <w:szCs w:val="20"/>
          <w:lang w:val="en-GB"/>
        </w:rPr>
        <w:t xml:space="preserve"> ::=              </w:t>
      </w:r>
      <w:r w:rsidRPr="00054CB8">
        <w:rPr>
          <w:rFonts w:ascii="Courier New" w:eastAsia="Times New Roman" w:hAnsi="Courier New" w:cs="Times New Roman"/>
          <w:noProof/>
          <w:color w:val="993366"/>
          <w:sz w:val="16"/>
          <w:szCs w:val="20"/>
          <w:lang w:val="en-GB"/>
        </w:rPr>
        <w:t>SEQUENCE</w:t>
      </w:r>
      <w:r w:rsidRPr="00054CB8">
        <w:rPr>
          <w:rFonts w:ascii="Courier New" w:eastAsia="Times New Roman" w:hAnsi="Courier New" w:cs="Times New Roman"/>
          <w:noProof/>
          <w:sz w:val="16"/>
          <w:szCs w:val="20"/>
          <w:lang w:val="en-GB"/>
        </w:rPr>
        <w:t xml:space="preserve"> {</w:t>
      </w:r>
    </w:p>
    <w:p w14:paraId="16F5C534" w14:textId="06B7A4F5" w:rsidR="00054CB8" w:rsidRPr="00054CB8" w:rsidRDefault="00054CB8" w:rsidP="00054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054CB8">
        <w:rPr>
          <w:rFonts w:ascii="Courier New" w:eastAsia="Times New Roman" w:hAnsi="Courier New" w:cs="Times New Roman"/>
          <w:noProof/>
          <w:sz w:val="16"/>
          <w:szCs w:val="20"/>
          <w:lang w:val="en-GB"/>
        </w:rPr>
        <w:t xml:space="preserve">    offsetThresholdTA-r1</w:t>
      </w:r>
      <w:r w:rsidRPr="00054CB8">
        <w:rPr>
          <w:rFonts w:ascii="Courier New" w:eastAsia="SimSun" w:hAnsi="Courier New" w:cs="Times New Roman"/>
          <w:noProof/>
          <w:sz w:val="16"/>
          <w:szCs w:val="20"/>
          <w:lang w:val="en-GB"/>
        </w:rPr>
        <w:t>8</w:t>
      </w:r>
      <w:r>
        <w:rPr>
          <w:rFonts w:ascii="Courier New" w:eastAsia="Times New Roman" w:hAnsi="Courier New" w:cs="Times New Roman"/>
          <w:noProof/>
          <w:sz w:val="16"/>
          <w:szCs w:val="20"/>
          <w:lang w:val="en-GB"/>
        </w:rPr>
        <w:t xml:space="preserve">           </w:t>
      </w:r>
      <w:r w:rsidRPr="00054CB8">
        <w:rPr>
          <w:rFonts w:ascii="Courier New" w:eastAsia="Times New Roman" w:hAnsi="Courier New" w:cs="Times New Roman"/>
          <w:noProof/>
          <w:color w:val="993366"/>
          <w:sz w:val="16"/>
          <w:szCs w:val="20"/>
          <w:lang w:val="en-GB"/>
        </w:rPr>
        <w:t>INTEGER</w:t>
      </w:r>
      <w:r w:rsidRPr="00054CB8">
        <w:rPr>
          <w:rFonts w:ascii="Courier New" w:eastAsia="Times New Roman" w:hAnsi="Courier New" w:cs="Times New Roman"/>
          <w:noProof/>
          <w:sz w:val="16"/>
          <w:szCs w:val="20"/>
          <w:lang w:val="en-GB"/>
        </w:rPr>
        <w:t xml:space="preserve"> (</w:t>
      </w:r>
      <w:r w:rsidRPr="00054CB8">
        <w:rPr>
          <w:rFonts w:ascii="Courier New" w:eastAsia="SimSun" w:hAnsi="Courier New" w:cs="Times New Roman"/>
          <w:noProof/>
          <w:sz w:val="16"/>
          <w:szCs w:val="20"/>
          <w:lang w:val="en-GB"/>
        </w:rPr>
        <w:t>1</w:t>
      </w:r>
      <w:r>
        <w:rPr>
          <w:rFonts w:ascii="Courier New" w:eastAsia="Times New Roman" w:hAnsi="Courier New" w:cs="Times New Roman"/>
          <w:noProof/>
          <w:sz w:val="16"/>
          <w:szCs w:val="20"/>
          <w:lang w:val="en-GB"/>
        </w:rPr>
        <w:t xml:space="preserve">..56)                  </w:t>
      </w:r>
      <w:r w:rsidRPr="00054CB8">
        <w:rPr>
          <w:rFonts w:ascii="Courier New" w:eastAsia="Times New Roman" w:hAnsi="Courier New" w:cs="Times New Roman"/>
          <w:noProof/>
          <w:color w:val="993366"/>
          <w:sz w:val="16"/>
          <w:szCs w:val="20"/>
          <w:lang w:val="en-GB"/>
        </w:rPr>
        <w:t>OPTIONAL</w:t>
      </w:r>
      <w:r w:rsidRPr="00054CB8">
        <w:rPr>
          <w:rFonts w:ascii="Courier New" w:eastAsia="Times New Roman" w:hAnsi="Courier New" w:cs="Times New Roman"/>
          <w:noProof/>
          <w:sz w:val="16"/>
          <w:szCs w:val="20"/>
          <w:lang w:val="en-GB"/>
        </w:rPr>
        <w:t xml:space="preserve">,    </w:t>
      </w:r>
      <w:r w:rsidRPr="00054CB8">
        <w:rPr>
          <w:rFonts w:ascii="Courier New" w:eastAsia="Times New Roman" w:hAnsi="Courier New" w:cs="Times New Roman"/>
          <w:noProof/>
          <w:color w:val="808080"/>
          <w:sz w:val="16"/>
          <w:szCs w:val="20"/>
          <w:lang w:val="en-GB"/>
        </w:rPr>
        <w:t>-- Need R</w:t>
      </w:r>
    </w:p>
    <w:p w14:paraId="6D9B2CBC" w14:textId="6529C613" w:rsidR="00054CB8" w:rsidRPr="00054CB8" w:rsidRDefault="00054CB8" w:rsidP="00054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054CB8">
        <w:rPr>
          <w:rFonts w:ascii="Courier New" w:eastAsia="Times New Roman" w:hAnsi="Courier New" w:cs="Times New Roman"/>
          <w:noProof/>
          <w:sz w:val="16"/>
          <w:szCs w:val="20"/>
          <w:lang w:val="en-GB"/>
        </w:rPr>
        <w:t xml:space="preserve">    timingAdvanceSR-r1</w:t>
      </w:r>
      <w:r w:rsidRPr="00054CB8">
        <w:rPr>
          <w:rFonts w:ascii="Courier New" w:eastAsia="SimSun" w:hAnsi="Courier New" w:cs="Times New Roman"/>
          <w:noProof/>
          <w:sz w:val="16"/>
          <w:szCs w:val="20"/>
          <w:lang w:val="en-GB"/>
        </w:rPr>
        <w:t>8</w:t>
      </w:r>
      <w:r>
        <w:rPr>
          <w:rFonts w:ascii="Courier New" w:eastAsia="Times New Roman" w:hAnsi="Courier New" w:cs="Times New Roman"/>
          <w:noProof/>
          <w:sz w:val="16"/>
          <w:szCs w:val="20"/>
          <w:lang w:val="en-GB"/>
        </w:rPr>
        <w:t xml:space="preserve">             </w:t>
      </w:r>
      <w:r w:rsidRPr="00054CB8">
        <w:rPr>
          <w:rFonts w:ascii="Courier New" w:eastAsia="Times New Roman" w:hAnsi="Courier New" w:cs="Times New Roman"/>
          <w:noProof/>
          <w:color w:val="993366"/>
          <w:sz w:val="16"/>
          <w:szCs w:val="20"/>
          <w:lang w:val="en-GB"/>
        </w:rPr>
        <w:t>ENUMERATED</w:t>
      </w:r>
      <w:r w:rsidRPr="00054CB8">
        <w:rPr>
          <w:rFonts w:ascii="Courier New" w:eastAsia="Times New Roman" w:hAnsi="Courier New" w:cs="Times New Roman"/>
          <w:noProof/>
          <w:sz w:val="16"/>
          <w:szCs w:val="20"/>
          <w:lang w:val="en-GB"/>
        </w:rPr>
        <w:t xml:space="preserve"> {enabled}             </w:t>
      </w:r>
      <w:r w:rsidRPr="00054CB8">
        <w:rPr>
          <w:rFonts w:ascii="Courier New" w:eastAsia="Times New Roman" w:hAnsi="Courier New" w:cs="Times New Roman"/>
          <w:noProof/>
          <w:color w:val="993366"/>
          <w:sz w:val="16"/>
          <w:szCs w:val="20"/>
          <w:lang w:val="en-GB"/>
        </w:rPr>
        <w:t>OPTIONAL</w:t>
      </w:r>
      <w:r w:rsidRPr="00054CB8">
        <w:rPr>
          <w:rFonts w:ascii="Courier New" w:eastAsia="Times New Roman" w:hAnsi="Courier New" w:cs="Times New Roman"/>
          <w:noProof/>
          <w:sz w:val="16"/>
          <w:szCs w:val="20"/>
          <w:lang w:val="en-GB"/>
        </w:rPr>
        <w:t xml:space="preserve">,    </w:t>
      </w:r>
      <w:r w:rsidRPr="00054CB8">
        <w:rPr>
          <w:rFonts w:ascii="Courier New" w:eastAsia="Times New Roman" w:hAnsi="Courier New" w:cs="Times New Roman"/>
          <w:noProof/>
          <w:color w:val="808080"/>
          <w:sz w:val="16"/>
          <w:szCs w:val="20"/>
          <w:lang w:val="en-GB"/>
        </w:rPr>
        <w:t>-- Need R</w:t>
      </w:r>
    </w:p>
    <w:p w14:paraId="7510281F" w14:textId="77777777" w:rsidR="00054CB8" w:rsidRPr="00054CB8" w:rsidRDefault="00054CB8" w:rsidP="00054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54CB8">
        <w:rPr>
          <w:rFonts w:ascii="Courier New" w:eastAsia="Times New Roman" w:hAnsi="Courier New" w:cs="Times New Roman"/>
          <w:noProof/>
          <w:sz w:val="16"/>
          <w:szCs w:val="20"/>
          <w:lang w:val="en-GB"/>
        </w:rPr>
        <w:t xml:space="preserve">    ...</w:t>
      </w:r>
    </w:p>
    <w:p w14:paraId="3D9087BD" w14:textId="4E4894FC" w:rsidR="00054CB8" w:rsidRPr="00054CB8" w:rsidRDefault="00054CB8" w:rsidP="00054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54CB8">
        <w:rPr>
          <w:rFonts w:ascii="Courier New" w:eastAsia="Times New Roman" w:hAnsi="Courier New" w:cs="Times New Roman"/>
          <w:noProof/>
          <w:sz w:val="16"/>
          <w:szCs w:val="20"/>
          <w:lang w:val="en-GB"/>
        </w:rPr>
        <w:t>}</w:t>
      </w:r>
    </w:p>
    <w:p w14:paraId="489E23FD" w14:textId="77777777" w:rsidR="00054CB8" w:rsidRPr="00054CB8" w:rsidRDefault="00054CB8" w:rsidP="005D1153">
      <w:pPr>
        <w:overflowPunct w:val="0"/>
        <w:autoSpaceDE w:val="0"/>
        <w:autoSpaceDN w:val="0"/>
        <w:adjustRightInd w:val="0"/>
        <w:spacing w:after="0"/>
        <w:textAlignment w:val="baseline"/>
        <w:rPr>
          <w:rFonts w:ascii="Times New Roman" w:eastAsia="Times New Roman" w:hAnsi="Times New Roman" w:cs="Times New Roman"/>
          <w:szCs w:val="20"/>
          <w:lang w:val="en-GB" w:eastAsia="ja-JP"/>
        </w:rPr>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5"/>
      </w:tblGrid>
      <w:tr w:rsidR="00054CB8" w:rsidRPr="00054CB8" w14:paraId="664ACC65" w14:textId="77777777" w:rsidTr="00054CB8">
        <w:trPr>
          <w:trHeight w:val="154"/>
        </w:trPr>
        <w:tc>
          <w:tcPr>
            <w:tcW w:w="9665" w:type="dxa"/>
            <w:tcBorders>
              <w:top w:val="single" w:sz="4" w:space="0" w:color="auto"/>
              <w:left w:val="single" w:sz="4" w:space="0" w:color="auto"/>
              <w:bottom w:val="single" w:sz="4" w:space="0" w:color="auto"/>
              <w:right w:val="single" w:sz="4" w:space="0" w:color="auto"/>
            </w:tcBorders>
          </w:tcPr>
          <w:p w14:paraId="75D77906" w14:textId="77777777" w:rsidR="00054CB8" w:rsidRPr="00054CB8" w:rsidRDefault="00054CB8" w:rsidP="00054CB8">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054CB8">
              <w:rPr>
                <w:rFonts w:eastAsia="Times New Roman" w:cs="Times New Roman"/>
                <w:b/>
                <w:i/>
                <w:sz w:val="18"/>
                <w:szCs w:val="22"/>
                <w:lang w:val="en-GB" w:eastAsia="sv-SE"/>
              </w:rPr>
              <w:t xml:space="preserve">TAR-Config </w:t>
            </w:r>
            <w:r w:rsidRPr="00054CB8">
              <w:rPr>
                <w:rFonts w:eastAsia="Times New Roman" w:cs="Times New Roman"/>
                <w:b/>
                <w:sz w:val="18"/>
                <w:szCs w:val="22"/>
                <w:lang w:val="en-GB" w:eastAsia="sv-SE"/>
              </w:rPr>
              <w:t>field descriptions</w:t>
            </w:r>
          </w:p>
        </w:tc>
      </w:tr>
      <w:tr w:rsidR="00054CB8" w:rsidRPr="00054CB8" w14:paraId="1575D5DB" w14:textId="77777777" w:rsidTr="00054CB8">
        <w:trPr>
          <w:trHeight w:val="463"/>
        </w:trPr>
        <w:tc>
          <w:tcPr>
            <w:tcW w:w="9665" w:type="dxa"/>
            <w:tcBorders>
              <w:top w:val="single" w:sz="4" w:space="0" w:color="auto"/>
              <w:left w:val="single" w:sz="4" w:space="0" w:color="auto"/>
              <w:bottom w:val="single" w:sz="4" w:space="0" w:color="auto"/>
              <w:right w:val="single" w:sz="4" w:space="0" w:color="auto"/>
            </w:tcBorders>
          </w:tcPr>
          <w:p w14:paraId="5E902A36" w14:textId="77777777" w:rsidR="00054CB8" w:rsidRPr="00054CB8" w:rsidRDefault="00054CB8" w:rsidP="00054CB8">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54CB8">
              <w:rPr>
                <w:rFonts w:eastAsia="Times New Roman" w:cs="Times New Roman"/>
                <w:b/>
                <w:i/>
                <w:sz w:val="18"/>
                <w:szCs w:val="22"/>
                <w:lang w:val="en-GB" w:eastAsia="sv-SE"/>
              </w:rPr>
              <w:t>offsetThresholdTA</w:t>
            </w:r>
          </w:p>
          <w:p w14:paraId="5BB04C8E" w14:textId="77777777" w:rsidR="00054CB8" w:rsidRPr="00054CB8" w:rsidRDefault="00054CB8" w:rsidP="00054CB8">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54CB8">
              <w:rPr>
                <w:rFonts w:eastAsia="Times New Roman" w:cs="Times New Roman"/>
                <w:bCs/>
                <w:iCs/>
                <w:sz w:val="18"/>
                <w:szCs w:val="22"/>
                <w:lang w:val="en-GB" w:eastAsia="sv-SE"/>
              </w:rPr>
              <w:t>Offset for TA reporting as specified in TS 38.321 [3]. Network only configures this parameter for MCG.</w:t>
            </w:r>
            <w:r w:rsidRPr="00054CB8">
              <w:rPr>
                <w:rFonts w:eastAsia="SimSun" w:cs="Times New Roman"/>
                <w:bCs/>
                <w:iCs/>
                <w:sz w:val="18"/>
                <w:szCs w:val="22"/>
                <w:lang w:val="en-GB" w:eastAsia="zh-CN"/>
              </w:rPr>
              <w:t xml:space="preserve"> </w:t>
            </w:r>
            <w:r w:rsidRPr="00054CB8">
              <w:rPr>
                <w:rFonts w:eastAsia="Times New Roman" w:cs="Times New Roman"/>
                <w:sz w:val="18"/>
                <w:szCs w:val="20"/>
                <w:lang w:val="en-GB" w:eastAsia="ja-JP"/>
              </w:rPr>
              <w:t>For ATG, network only configures offsetThresholdTA-r18</w:t>
            </w:r>
            <w:r w:rsidRPr="00054CB8">
              <w:rPr>
                <w:rFonts w:eastAsia="SimSun" w:cs="Times New Roman"/>
                <w:sz w:val="18"/>
                <w:szCs w:val="20"/>
                <w:lang w:val="en-GB" w:eastAsia="zh-CN"/>
              </w:rPr>
              <w:t>, which is</w:t>
            </w:r>
            <w:r w:rsidRPr="00054CB8">
              <w:rPr>
                <w:rFonts w:eastAsia="Times New Roman" w:cs="Times New Roman"/>
                <w:sz w:val="18"/>
                <w:szCs w:val="20"/>
                <w:lang w:val="en-GB" w:eastAsia="ja-JP"/>
              </w:rPr>
              <w:t xml:space="preserve"> in unit of symbols.</w:t>
            </w:r>
          </w:p>
        </w:tc>
      </w:tr>
    </w:tbl>
    <w:p w14:paraId="58F0561F" w14:textId="0707E741" w:rsidR="00054CB8" w:rsidRDefault="00054CB8" w:rsidP="00291254">
      <w:pPr>
        <w:pStyle w:val="PatentBody"/>
        <w:numPr>
          <w:ilvl w:val="0"/>
          <w:numId w:val="0"/>
        </w:numPr>
        <w:spacing w:after="180" w:line="240" w:lineRule="auto"/>
        <w:jc w:val="both"/>
        <w:rPr>
          <w:sz w:val="20"/>
        </w:rPr>
      </w:pPr>
    </w:p>
    <w:p w14:paraId="7590E6E2" w14:textId="08611B6A" w:rsidR="00961E4E" w:rsidRDefault="00911631" w:rsidP="00291254">
      <w:pPr>
        <w:pStyle w:val="PatentBody"/>
        <w:numPr>
          <w:ilvl w:val="0"/>
          <w:numId w:val="0"/>
        </w:numPr>
        <w:spacing w:after="180" w:line="240" w:lineRule="auto"/>
        <w:jc w:val="both"/>
        <w:rPr>
          <w:sz w:val="20"/>
        </w:rPr>
      </w:pPr>
      <w:r>
        <w:rPr>
          <w:sz w:val="20"/>
        </w:rPr>
        <w:t xml:space="preserve">This is used to trigger a TA report due to the movement of the </w:t>
      </w:r>
      <w:r w:rsidR="00214A0D">
        <w:rPr>
          <w:sz w:val="20"/>
        </w:rPr>
        <w:t xml:space="preserve">ATG UE as the estimated TA changes. The </w:t>
      </w:r>
      <w:r w:rsidR="00214A0D" w:rsidRPr="00CE7B3F">
        <w:rPr>
          <w:i/>
          <w:sz w:val="20"/>
        </w:rPr>
        <w:t>offsetThresholdTA-r18</w:t>
      </w:r>
      <w:r w:rsidR="00214A0D">
        <w:rPr>
          <w:sz w:val="20"/>
        </w:rPr>
        <w:t xml:space="preserve"> is in unit of slots, which is different from NTN </w:t>
      </w:r>
      <w:r w:rsidR="00214A0D" w:rsidRPr="000912F4">
        <w:rPr>
          <w:i/>
          <w:sz w:val="20"/>
        </w:rPr>
        <w:t>offsetThresholdTA-r17</w:t>
      </w:r>
      <w:r w:rsidR="00214A0D">
        <w:rPr>
          <w:sz w:val="20"/>
        </w:rPr>
        <w:t xml:space="preserve"> which is in unit of milliseconds. </w:t>
      </w:r>
      <w:r>
        <w:rPr>
          <w:sz w:val="20"/>
        </w:rPr>
        <w:t>If the SCS changes</w:t>
      </w:r>
      <w:r w:rsidR="00E0132C">
        <w:rPr>
          <w:sz w:val="20"/>
        </w:rPr>
        <w:t xml:space="preserve"> due to BWP switching</w:t>
      </w:r>
      <w:r>
        <w:rPr>
          <w:sz w:val="20"/>
        </w:rPr>
        <w:t xml:space="preserve">, this means that unless the number of slots changes, the absolute </w:t>
      </w:r>
      <w:r w:rsidR="00E0132C">
        <w:rPr>
          <w:sz w:val="20"/>
        </w:rPr>
        <w:t xml:space="preserve">value that the </w:t>
      </w:r>
      <w:r w:rsidR="00E0132C" w:rsidRPr="00571FF9">
        <w:rPr>
          <w:i/>
          <w:sz w:val="20"/>
        </w:rPr>
        <w:t>offsetThresholdTA-r18</w:t>
      </w:r>
      <w:r w:rsidR="00E0132C">
        <w:rPr>
          <w:sz w:val="20"/>
        </w:rPr>
        <w:t xml:space="preserve"> represents changes as well. </w:t>
      </w:r>
      <w:r w:rsidR="00054CB8">
        <w:rPr>
          <w:sz w:val="20"/>
        </w:rPr>
        <w:t xml:space="preserve">This is despite of the absolute TA changing independently of the SCS due to the movement of the aircraft. </w:t>
      </w:r>
      <w:r w:rsidR="00E0132C">
        <w:rPr>
          <w:sz w:val="20"/>
        </w:rPr>
        <w:t>This lea</w:t>
      </w:r>
      <w:r w:rsidR="00054CB8">
        <w:rPr>
          <w:sz w:val="20"/>
        </w:rPr>
        <w:t>ds to the odd operation where the absolute</w:t>
      </w:r>
      <w:r w:rsidR="00E0132C">
        <w:rPr>
          <w:sz w:val="20"/>
        </w:rPr>
        <w:t xml:space="preserve"> threshold changes as the U</w:t>
      </w:r>
      <w:r w:rsidR="00B334F9">
        <w:rPr>
          <w:sz w:val="20"/>
        </w:rPr>
        <w:t>E switches in between BWPs</w:t>
      </w:r>
      <w:r w:rsidR="00054CB8">
        <w:rPr>
          <w:sz w:val="20"/>
        </w:rPr>
        <w:t xml:space="preserve"> with different SCS</w:t>
      </w:r>
      <w:r w:rsidR="00B334F9">
        <w:rPr>
          <w:sz w:val="20"/>
        </w:rPr>
        <w:t>.</w:t>
      </w:r>
    </w:p>
    <w:p w14:paraId="00683BB8" w14:textId="7FD81155" w:rsidR="00961E4E" w:rsidRDefault="00961E4E" w:rsidP="00291254">
      <w:pPr>
        <w:pStyle w:val="PatentBody"/>
        <w:numPr>
          <w:ilvl w:val="0"/>
          <w:numId w:val="0"/>
        </w:numPr>
        <w:spacing w:after="180" w:line="240" w:lineRule="auto"/>
        <w:jc w:val="both"/>
        <w:rPr>
          <w:sz w:val="20"/>
        </w:rPr>
      </w:pPr>
      <w:r>
        <w:rPr>
          <w:sz w:val="20"/>
        </w:rPr>
        <w:t>Another example is the</w:t>
      </w:r>
      <w:r w:rsidR="00D80548">
        <w:rPr>
          <w:sz w:val="20"/>
        </w:rPr>
        <w:t xml:space="preserve"> Timing advance field for</w:t>
      </w:r>
      <w:r>
        <w:rPr>
          <w:sz w:val="20"/>
        </w:rPr>
        <w:t xml:space="preserve"> TAR MAC CE</w:t>
      </w:r>
      <w:r w:rsidR="00620592">
        <w:rPr>
          <w:sz w:val="20"/>
        </w:rPr>
        <w:t xml:space="preserve"> [4]</w:t>
      </w:r>
      <w:r>
        <w:rPr>
          <w:sz w:val="20"/>
        </w:rPr>
        <w:t xml:space="preserve">: </w:t>
      </w:r>
    </w:p>
    <w:p w14:paraId="6641209A" w14:textId="77777777" w:rsidR="00D80548" w:rsidRPr="00D80548" w:rsidRDefault="00D80548" w:rsidP="00D80548">
      <w:pPr>
        <w:overflowPunct w:val="0"/>
        <w:autoSpaceDE w:val="0"/>
        <w:autoSpaceDN w:val="0"/>
        <w:adjustRightInd w:val="0"/>
        <w:ind w:left="568" w:hanging="284"/>
        <w:textAlignment w:val="baseline"/>
        <w:rPr>
          <w:rFonts w:ascii="Times New Roman" w:eastAsia="Malgun Gothic" w:hAnsi="Times New Roman" w:cs="Times New Roman"/>
          <w:szCs w:val="20"/>
          <w:lang w:val="en-GB" w:eastAsia="ja-JP"/>
        </w:rPr>
      </w:pPr>
      <w:r w:rsidRPr="00D80548">
        <w:rPr>
          <w:rFonts w:ascii="Times New Roman" w:eastAsia="Malgun Gothic" w:hAnsi="Times New Roman" w:cs="Times New Roman"/>
          <w:szCs w:val="20"/>
          <w:lang w:val="en-GB" w:eastAsia="ja-JP"/>
        </w:rPr>
        <w:t>-</w:t>
      </w:r>
      <w:r w:rsidRPr="00D80548">
        <w:rPr>
          <w:rFonts w:ascii="Times New Roman" w:eastAsia="Malgun Gothic" w:hAnsi="Times New Roman" w:cs="Times New Roman"/>
          <w:szCs w:val="20"/>
          <w:lang w:val="en-GB" w:eastAsia="ja-JP"/>
        </w:rPr>
        <w:tab/>
        <w:t>Timing Advance: In FR1</w:t>
      </w:r>
      <w:r w:rsidRPr="00D80548">
        <w:rPr>
          <w:rFonts w:ascii="Times New Roman" w:eastAsia="SimSun" w:hAnsi="Times New Roman" w:cs="Times New Roman"/>
          <w:szCs w:val="20"/>
          <w:lang w:val="en-GB" w:eastAsia="zh-CN"/>
        </w:rPr>
        <w:t xml:space="preserve"> except for ATG</w:t>
      </w:r>
      <w:r w:rsidRPr="00D80548">
        <w:rPr>
          <w:rFonts w:ascii="Times New Roman" w:eastAsia="Malgun Gothic" w:hAnsi="Times New Roman" w:cs="Times New Roman"/>
          <w:szCs w:val="20"/>
          <w:lang w:val="en-GB" w:eastAsia="ja-JP"/>
        </w:rPr>
        <w:t>, the Timing Advance field indicates the least integer number of slots, using subcarrier spacing of 15 kHz, greater than or equal to the Timing Advance value (see TS 38.211 [8], clause 4.3.1).</w:t>
      </w:r>
    </w:p>
    <w:p w14:paraId="6B8CB2B9" w14:textId="77777777" w:rsidR="00D80548" w:rsidRPr="00D80548" w:rsidRDefault="00D80548" w:rsidP="00D80548">
      <w:pPr>
        <w:overflowPunct w:val="0"/>
        <w:autoSpaceDE w:val="0"/>
        <w:autoSpaceDN w:val="0"/>
        <w:adjustRightInd w:val="0"/>
        <w:ind w:left="568" w:hanging="1"/>
        <w:textAlignment w:val="baseline"/>
        <w:rPr>
          <w:rFonts w:ascii="Times New Roman" w:eastAsia="Times New Roman" w:hAnsi="Times New Roman" w:cs="Times New Roman"/>
          <w:szCs w:val="20"/>
          <w:lang w:val="en-GB" w:eastAsia="ja-JP"/>
        </w:rPr>
      </w:pPr>
      <w:r w:rsidRPr="00D80548">
        <w:rPr>
          <w:rFonts w:ascii="Times New Roman" w:eastAsia="Times New Roman" w:hAnsi="Times New Roman" w:cs="Times New Roman"/>
          <w:szCs w:val="20"/>
          <w:lang w:val="en-GB" w:eastAsia="ja-JP"/>
        </w:rPr>
        <w:t>For ATG</w:t>
      </w:r>
      <w:r w:rsidRPr="00D80548">
        <w:rPr>
          <w:rFonts w:ascii="Times New Roman" w:eastAsia="SimSun" w:hAnsi="Times New Roman" w:cs="Times New Roman"/>
          <w:szCs w:val="20"/>
          <w:lang w:val="en-GB" w:eastAsia="zh-CN"/>
        </w:rPr>
        <w:t xml:space="preserve"> i</w:t>
      </w:r>
      <w:r w:rsidRPr="00D80548">
        <w:rPr>
          <w:rFonts w:ascii="Times New Roman" w:eastAsia="Malgun Gothic" w:hAnsi="Times New Roman" w:cs="Times New Roman"/>
          <w:szCs w:val="20"/>
          <w:lang w:val="en-GB" w:eastAsia="ja-JP"/>
        </w:rPr>
        <w:t>n FR1</w:t>
      </w:r>
      <w:r w:rsidRPr="00D80548">
        <w:rPr>
          <w:rFonts w:ascii="Times New Roman" w:eastAsia="Times New Roman" w:hAnsi="Times New Roman" w:cs="Times New Roman"/>
          <w:szCs w:val="20"/>
          <w:lang w:val="en-GB" w:eastAsia="ja-JP"/>
        </w:rPr>
        <w:t xml:space="preserve">,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D80548">
        <w:rPr>
          <w:rFonts w:ascii="Times New Roman" w:eastAsia="SimSun" w:hAnsi="Times New Roman" w:cs="Times New Roman"/>
          <w:szCs w:val="20"/>
          <w:lang w:val="en-GB" w:eastAsia="zh-CN"/>
        </w:rPr>
        <w:t>56</w:t>
      </w:r>
      <w:r w:rsidRPr="00D80548">
        <w:rPr>
          <w:rFonts w:ascii="Times New Roman" w:eastAsia="Times New Roman" w:hAnsi="Times New Roman" w:cs="Times New Roman"/>
          <w:szCs w:val="20"/>
          <w:lang w:val="en-GB" w:eastAsia="ja-JP"/>
        </w:rPr>
        <w:t xml:space="preserve"> are used.</w:t>
      </w:r>
    </w:p>
    <w:p w14:paraId="0FB149F0" w14:textId="77777777" w:rsidR="00D80548" w:rsidRPr="00D80548" w:rsidRDefault="00D80548" w:rsidP="00D80548">
      <w:pPr>
        <w:overflowPunct w:val="0"/>
        <w:autoSpaceDE w:val="0"/>
        <w:autoSpaceDN w:val="0"/>
        <w:adjustRightInd w:val="0"/>
        <w:ind w:left="568" w:hanging="1"/>
        <w:textAlignment w:val="baseline"/>
        <w:rPr>
          <w:rFonts w:ascii="Times New Roman" w:eastAsia="Malgun Gothic" w:hAnsi="Times New Roman" w:cs="Times New Roman"/>
          <w:szCs w:val="20"/>
          <w:lang w:val="en-GB" w:eastAsia="ja-JP"/>
        </w:rPr>
      </w:pPr>
      <w:r w:rsidRPr="00D80548">
        <w:rPr>
          <w:rFonts w:ascii="Times New Roman" w:eastAsia="Malgun Gothic" w:hAnsi="Times New Roman" w:cs="Times New Roman"/>
          <w:szCs w:val="20"/>
          <w:lang w:val="en-GB" w:eastAsia="ja-JP"/>
        </w:rPr>
        <w:t>The length of the field is 14 bits.</w:t>
      </w:r>
    </w:p>
    <w:p w14:paraId="6023DB76" w14:textId="5AFDD86F" w:rsidR="0001578E" w:rsidRDefault="005D1153" w:rsidP="00291254">
      <w:pPr>
        <w:pStyle w:val="PatentBody"/>
        <w:numPr>
          <w:ilvl w:val="0"/>
          <w:numId w:val="0"/>
        </w:numPr>
        <w:spacing w:after="180" w:line="240" w:lineRule="auto"/>
        <w:jc w:val="both"/>
        <w:rPr>
          <w:sz w:val="20"/>
        </w:rPr>
      </w:pPr>
      <w:r>
        <w:rPr>
          <w:sz w:val="20"/>
        </w:rPr>
        <w:t xml:space="preserve">For the TAR MAC CE, it is not entirely clear with what basis of the SCS that the UE shall report the Timing Advance value, as the UE may be configured with multiple SCSes which may change dynamically. Furthermore, even if it is clarified to be related to the SCS of the current BWP, when the UE switches to another BWP, for instance due to a failure, there can be </w:t>
      </w:r>
      <w:r w:rsidR="008D0088">
        <w:rPr>
          <w:sz w:val="20"/>
        </w:rPr>
        <w:t>ambiguities</w:t>
      </w:r>
      <w:r>
        <w:rPr>
          <w:sz w:val="20"/>
        </w:rPr>
        <w:t xml:space="preserve"> for the network regarding the reported Timing Advance value. </w:t>
      </w:r>
    </w:p>
    <w:p w14:paraId="11835596" w14:textId="4521AEAC" w:rsidR="00FE1ACC" w:rsidRPr="00FE1ACC" w:rsidRDefault="00FE1ACC" w:rsidP="00FE1ACC">
      <w:pPr>
        <w:jc w:val="both"/>
        <w:rPr>
          <w:b/>
        </w:rPr>
      </w:pPr>
      <w:r>
        <w:rPr>
          <w:b/>
        </w:rPr>
        <w:t xml:space="preserve">Observation 2: </w:t>
      </w:r>
      <w:r w:rsidR="0003008A">
        <w:rPr>
          <w:b/>
        </w:rPr>
        <w:t xml:space="preserve">ATG </w:t>
      </w:r>
      <w:r>
        <w:rPr>
          <w:b/>
        </w:rPr>
        <w:t xml:space="preserve">Timing Advance Reporting is not designed for SCS changing dynamically. </w:t>
      </w:r>
    </w:p>
    <w:p w14:paraId="666CC9C1" w14:textId="77777777" w:rsidR="003F1950" w:rsidRDefault="003F1950" w:rsidP="00291254">
      <w:pPr>
        <w:pStyle w:val="PatentBody"/>
        <w:numPr>
          <w:ilvl w:val="0"/>
          <w:numId w:val="0"/>
        </w:numPr>
        <w:spacing w:after="180" w:line="240" w:lineRule="auto"/>
        <w:jc w:val="both"/>
        <w:rPr>
          <w:sz w:val="20"/>
        </w:rPr>
      </w:pPr>
      <w:r>
        <w:rPr>
          <w:sz w:val="20"/>
        </w:rPr>
        <w:lastRenderedPageBreak/>
        <w:t xml:space="preserve">Thus we think that RAN2 needs to clarify how to interpret the slots if the UE is configured with different SCSes. Thus we propose: </w:t>
      </w:r>
    </w:p>
    <w:p w14:paraId="4359C0E2" w14:textId="388CECA2" w:rsidR="00911631" w:rsidRPr="00FE1ACC" w:rsidRDefault="003F1950" w:rsidP="00FE1ACC">
      <w:pPr>
        <w:pStyle w:val="PatentBody"/>
        <w:numPr>
          <w:ilvl w:val="0"/>
          <w:numId w:val="0"/>
        </w:numPr>
        <w:spacing w:after="60" w:line="240" w:lineRule="auto"/>
        <w:jc w:val="both"/>
        <w:rPr>
          <w:b/>
          <w:sz w:val="20"/>
        </w:rPr>
      </w:pPr>
      <w:r w:rsidRPr="00FE1ACC">
        <w:rPr>
          <w:b/>
          <w:sz w:val="20"/>
        </w:rPr>
        <w:t>Proposal 1: RAN2 to discuss how to handle switching of SCSes via BWP-switching for</w:t>
      </w:r>
      <w:r w:rsidR="00D44A8A">
        <w:rPr>
          <w:b/>
          <w:sz w:val="20"/>
        </w:rPr>
        <w:t xml:space="preserve"> timing advance reporting</w:t>
      </w:r>
      <w:r w:rsidRPr="00FE1ACC">
        <w:rPr>
          <w:b/>
          <w:sz w:val="20"/>
        </w:rPr>
        <w:t xml:space="preserve">: </w:t>
      </w:r>
    </w:p>
    <w:p w14:paraId="47046104" w14:textId="2E3B4BEC" w:rsidR="003F1950" w:rsidRPr="00FE1ACC" w:rsidRDefault="00FE1ACC" w:rsidP="00D44A8A">
      <w:pPr>
        <w:pStyle w:val="PatentBody"/>
        <w:numPr>
          <w:ilvl w:val="1"/>
          <w:numId w:val="21"/>
        </w:numPr>
        <w:spacing w:after="60" w:line="240" w:lineRule="auto"/>
        <w:jc w:val="both"/>
        <w:rPr>
          <w:b/>
          <w:sz w:val="20"/>
        </w:rPr>
      </w:pPr>
      <w:r w:rsidRPr="00FE1ACC">
        <w:rPr>
          <w:b/>
          <w:sz w:val="20"/>
        </w:rPr>
        <w:t>offsetThresholdTA-r18</w:t>
      </w:r>
    </w:p>
    <w:p w14:paraId="2FBCB781" w14:textId="11E1E008" w:rsidR="00FE1ACC" w:rsidRPr="00FE1ACC" w:rsidRDefault="00FE1ACC" w:rsidP="00D44A8A">
      <w:pPr>
        <w:pStyle w:val="PatentBody"/>
        <w:numPr>
          <w:ilvl w:val="1"/>
          <w:numId w:val="21"/>
        </w:numPr>
        <w:spacing w:after="60" w:line="240" w:lineRule="auto"/>
        <w:jc w:val="both"/>
        <w:rPr>
          <w:b/>
          <w:sz w:val="20"/>
        </w:rPr>
      </w:pPr>
      <w:r w:rsidRPr="00FE1ACC">
        <w:rPr>
          <w:b/>
          <w:sz w:val="20"/>
        </w:rPr>
        <w:t>Timing Advance field in TAR MAC CE</w:t>
      </w:r>
    </w:p>
    <w:p w14:paraId="1E696D83" w14:textId="77777777" w:rsidR="00F159AD" w:rsidRDefault="00F159AD" w:rsidP="00291254">
      <w:pPr>
        <w:pStyle w:val="PatentBody"/>
        <w:numPr>
          <w:ilvl w:val="0"/>
          <w:numId w:val="0"/>
        </w:numPr>
        <w:spacing w:after="180" w:line="240" w:lineRule="auto"/>
        <w:jc w:val="both"/>
        <w:rPr>
          <w:sz w:val="20"/>
        </w:rPr>
      </w:pPr>
    </w:p>
    <w:p w14:paraId="18A903F0" w14:textId="2BEC2C3A" w:rsidR="003F1950" w:rsidRDefault="003F1950" w:rsidP="00291254">
      <w:pPr>
        <w:pStyle w:val="PatentBody"/>
        <w:numPr>
          <w:ilvl w:val="0"/>
          <w:numId w:val="0"/>
        </w:numPr>
        <w:spacing w:after="180" w:line="240" w:lineRule="auto"/>
        <w:jc w:val="both"/>
        <w:rPr>
          <w:sz w:val="20"/>
        </w:rPr>
      </w:pPr>
      <w:r>
        <w:rPr>
          <w:sz w:val="20"/>
        </w:rPr>
        <w:t xml:space="preserve">To clarify which SCS to use when UE is configured with multiple SCSes, there could be a range of options. </w:t>
      </w:r>
      <w:r w:rsidR="004A4FC5">
        <w:rPr>
          <w:sz w:val="20"/>
        </w:rPr>
        <w:t xml:space="preserve">We think two options is that 1) either the SCS is clarified to be the SCS of the active BWP or 2) it is clarified that the SCS of the initial BWP is applied. 1) Has the con that thresholds and absolute timing will change if the SCS changes, which may cause timing errors in some cases. 2) </w:t>
      </w:r>
      <w:r w:rsidR="002548DB">
        <w:rPr>
          <w:sz w:val="20"/>
        </w:rPr>
        <w:t>H</w:t>
      </w:r>
      <w:r w:rsidR="004A4FC5">
        <w:rPr>
          <w:sz w:val="20"/>
        </w:rPr>
        <w:t xml:space="preserve">as the benefit that absolute timing does not change with SCS. </w:t>
      </w:r>
    </w:p>
    <w:p w14:paraId="3A91988B" w14:textId="14034EC1" w:rsidR="00796FEA" w:rsidRPr="00E61AD1" w:rsidRDefault="00796FEA" w:rsidP="00796FEA">
      <w:pPr>
        <w:pStyle w:val="PatentBody"/>
        <w:numPr>
          <w:ilvl w:val="0"/>
          <w:numId w:val="0"/>
        </w:numPr>
        <w:spacing w:after="60" w:line="240" w:lineRule="auto"/>
        <w:jc w:val="both"/>
        <w:rPr>
          <w:b/>
          <w:sz w:val="20"/>
        </w:rPr>
      </w:pPr>
      <w:bookmarkStart w:id="0" w:name="_GoBack"/>
      <w:r w:rsidRPr="00E61AD1">
        <w:rPr>
          <w:b/>
          <w:sz w:val="20"/>
        </w:rPr>
        <w:t xml:space="preserve">Proposal 2: RAN2 to choose between </w:t>
      </w:r>
    </w:p>
    <w:p w14:paraId="5DF0EDF2" w14:textId="50D4C552" w:rsidR="00796FEA" w:rsidRPr="00E61AD1" w:rsidRDefault="00796FEA" w:rsidP="00E61AD1">
      <w:pPr>
        <w:pStyle w:val="PatentBody"/>
        <w:numPr>
          <w:ilvl w:val="0"/>
          <w:numId w:val="0"/>
        </w:numPr>
        <w:spacing w:after="60" w:line="240" w:lineRule="auto"/>
        <w:ind w:left="284"/>
        <w:jc w:val="both"/>
        <w:rPr>
          <w:b/>
          <w:sz w:val="20"/>
        </w:rPr>
      </w:pPr>
      <w:r w:rsidRPr="00E61AD1">
        <w:rPr>
          <w:b/>
          <w:sz w:val="20"/>
        </w:rPr>
        <w:t>1) Clarifying that SCS is based on SCS of active BWP</w:t>
      </w:r>
    </w:p>
    <w:p w14:paraId="0DA2A8CB" w14:textId="7C71FAED" w:rsidR="00796FEA" w:rsidRDefault="00796FEA" w:rsidP="00E61AD1">
      <w:pPr>
        <w:pStyle w:val="PatentBody"/>
        <w:numPr>
          <w:ilvl w:val="0"/>
          <w:numId w:val="0"/>
        </w:numPr>
        <w:spacing w:after="60" w:line="240" w:lineRule="auto"/>
        <w:ind w:left="284"/>
        <w:jc w:val="both"/>
        <w:rPr>
          <w:b/>
          <w:sz w:val="20"/>
        </w:rPr>
      </w:pPr>
      <w:r w:rsidRPr="00E61AD1">
        <w:rPr>
          <w:b/>
          <w:sz w:val="20"/>
        </w:rPr>
        <w:t>2) Clarifying that SCS is based on SCS of initial BWP</w:t>
      </w:r>
    </w:p>
    <w:p w14:paraId="3BB463B6" w14:textId="431998EC" w:rsidR="00517970" w:rsidRPr="00E61AD1" w:rsidRDefault="00517970" w:rsidP="00E61AD1">
      <w:pPr>
        <w:pStyle w:val="PatentBody"/>
        <w:numPr>
          <w:ilvl w:val="0"/>
          <w:numId w:val="0"/>
        </w:numPr>
        <w:spacing w:after="60" w:line="240" w:lineRule="auto"/>
        <w:ind w:left="284"/>
        <w:jc w:val="both"/>
        <w:rPr>
          <w:b/>
          <w:sz w:val="20"/>
        </w:rPr>
      </w:pPr>
      <w:r>
        <w:rPr>
          <w:b/>
          <w:sz w:val="20"/>
        </w:rPr>
        <w:t>3) Any other solution</w:t>
      </w:r>
    </w:p>
    <w:bookmarkEnd w:id="0"/>
    <w:p w14:paraId="383DEDF6" w14:textId="30E0F317" w:rsidR="00E61AD1" w:rsidRPr="00291254" w:rsidRDefault="00E61AD1" w:rsidP="00291254">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244A54BA" w14:textId="679DF156" w:rsidR="006B30C3"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81574B">
        <w:rPr>
          <w:lang w:eastAsia="ko-KR"/>
        </w:rPr>
        <w:t>ATG</w:t>
      </w:r>
      <w:r w:rsidR="00701F5A">
        <w:rPr>
          <w:lang w:eastAsia="ko-KR"/>
        </w:rPr>
        <w:t xml:space="preserve"> Timing advance reporting</w:t>
      </w:r>
      <w:r w:rsidR="00944EC6">
        <w:rPr>
          <w:lang w:eastAsia="ko-KR"/>
        </w:rPr>
        <w:t xml:space="preserve">. </w:t>
      </w:r>
    </w:p>
    <w:p w14:paraId="3D040641" w14:textId="77777777" w:rsidR="00B06A2E" w:rsidRPr="00494952" w:rsidRDefault="00B06A2E" w:rsidP="00B06A2E">
      <w:pPr>
        <w:jc w:val="both"/>
        <w:rPr>
          <w:b/>
        </w:rPr>
      </w:pPr>
      <w:r>
        <w:rPr>
          <w:b/>
        </w:rPr>
        <w:t xml:space="preserve">Observation 1: The SCS may change dynamically with BWP switching. </w:t>
      </w:r>
    </w:p>
    <w:p w14:paraId="279BA195" w14:textId="77777777" w:rsidR="00B06A2E" w:rsidRPr="00FE1ACC" w:rsidRDefault="00B06A2E" w:rsidP="00B06A2E">
      <w:pPr>
        <w:jc w:val="both"/>
        <w:rPr>
          <w:b/>
        </w:rPr>
      </w:pPr>
      <w:r>
        <w:rPr>
          <w:b/>
        </w:rPr>
        <w:t xml:space="preserve">Observation 2: ATG Timing Advance Reporting is not designed for SCS changing dynamically. </w:t>
      </w:r>
    </w:p>
    <w:p w14:paraId="57987A0E" w14:textId="77777777" w:rsidR="00B06A2E" w:rsidRPr="00FE1ACC" w:rsidRDefault="00B06A2E" w:rsidP="00B06A2E">
      <w:pPr>
        <w:pStyle w:val="PatentBody"/>
        <w:numPr>
          <w:ilvl w:val="0"/>
          <w:numId w:val="0"/>
        </w:numPr>
        <w:spacing w:after="60" w:line="240" w:lineRule="auto"/>
        <w:jc w:val="both"/>
        <w:rPr>
          <w:b/>
          <w:sz w:val="20"/>
        </w:rPr>
      </w:pPr>
      <w:r w:rsidRPr="00FE1ACC">
        <w:rPr>
          <w:b/>
          <w:sz w:val="20"/>
        </w:rPr>
        <w:t>Proposal 1: RAN2 to discuss how to handle switching of SCSes via BWP-switching for</w:t>
      </w:r>
      <w:r>
        <w:rPr>
          <w:b/>
          <w:sz w:val="20"/>
        </w:rPr>
        <w:t xml:space="preserve"> timing advance reporting</w:t>
      </w:r>
      <w:r w:rsidRPr="00FE1ACC">
        <w:rPr>
          <w:b/>
          <w:sz w:val="20"/>
        </w:rPr>
        <w:t xml:space="preserve">: </w:t>
      </w:r>
    </w:p>
    <w:p w14:paraId="0F8F5470" w14:textId="77777777" w:rsidR="00B06A2E" w:rsidRPr="00FE1ACC" w:rsidRDefault="00B06A2E" w:rsidP="00B06A2E">
      <w:pPr>
        <w:pStyle w:val="PatentBody"/>
        <w:numPr>
          <w:ilvl w:val="1"/>
          <w:numId w:val="21"/>
        </w:numPr>
        <w:spacing w:after="60" w:line="240" w:lineRule="auto"/>
        <w:jc w:val="both"/>
        <w:rPr>
          <w:b/>
          <w:sz w:val="20"/>
        </w:rPr>
      </w:pPr>
      <w:r w:rsidRPr="00FE1ACC">
        <w:rPr>
          <w:b/>
          <w:sz w:val="20"/>
        </w:rPr>
        <w:t>offsetThresholdTA-r18</w:t>
      </w:r>
    </w:p>
    <w:p w14:paraId="08A70F01" w14:textId="77777777" w:rsidR="00B06A2E" w:rsidRPr="00FE1ACC" w:rsidRDefault="00B06A2E" w:rsidP="00B06A2E">
      <w:pPr>
        <w:pStyle w:val="PatentBody"/>
        <w:numPr>
          <w:ilvl w:val="1"/>
          <w:numId w:val="21"/>
        </w:numPr>
        <w:spacing w:after="60" w:line="240" w:lineRule="auto"/>
        <w:jc w:val="both"/>
        <w:rPr>
          <w:b/>
          <w:sz w:val="20"/>
        </w:rPr>
      </w:pPr>
      <w:r w:rsidRPr="00FE1ACC">
        <w:rPr>
          <w:b/>
          <w:sz w:val="20"/>
        </w:rPr>
        <w:t>Timing Advance field in TAR MAC CE</w:t>
      </w:r>
    </w:p>
    <w:p w14:paraId="649846AE" w14:textId="77777777" w:rsidR="00DD5AB7" w:rsidRDefault="00DD5AB7" w:rsidP="00F159AD">
      <w:pPr>
        <w:pStyle w:val="PatentBody"/>
        <w:numPr>
          <w:ilvl w:val="0"/>
          <w:numId w:val="0"/>
        </w:numPr>
        <w:spacing w:after="60" w:line="240" w:lineRule="auto"/>
        <w:jc w:val="both"/>
        <w:rPr>
          <w:b/>
          <w:sz w:val="20"/>
        </w:rPr>
      </w:pPr>
    </w:p>
    <w:p w14:paraId="49B9B35D" w14:textId="77777777" w:rsidR="00B06A2E" w:rsidRPr="00E61AD1" w:rsidRDefault="00B06A2E" w:rsidP="00B06A2E">
      <w:pPr>
        <w:pStyle w:val="PatentBody"/>
        <w:numPr>
          <w:ilvl w:val="0"/>
          <w:numId w:val="0"/>
        </w:numPr>
        <w:spacing w:after="60" w:line="240" w:lineRule="auto"/>
        <w:jc w:val="both"/>
        <w:rPr>
          <w:b/>
          <w:sz w:val="20"/>
        </w:rPr>
      </w:pPr>
      <w:r w:rsidRPr="00E61AD1">
        <w:rPr>
          <w:b/>
          <w:sz w:val="20"/>
        </w:rPr>
        <w:t xml:space="preserve">Proposal 2: RAN2 to choose between </w:t>
      </w:r>
    </w:p>
    <w:p w14:paraId="7422CAED" w14:textId="77777777" w:rsidR="00B06A2E" w:rsidRPr="00E61AD1" w:rsidRDefault="00B06A2E" w:rsidP="00B06A2E">
      <w:pPr>
        <w:pStyle w:val="PatentBody"/>
        <w:numPr>
          <w:ilvl w:val="0"/>
          <w:numId w:val="0"/>
        </w:numPr>
        <w:spacing w:after="60" w:line="240" w:lineRule="auto"/>
        <w:ind w:left="284"/>
        <w:jc w:val="both"/>
        <w:rPr>
          <w:b/>
          <w:sz w:val="20"/>
        </w:rPr>
      </w:pPr>
      <w:r w:rsidRPr="00E61AD1">
        <w:rPr>
          <w:b/>
          <w:sz w:val="20"/>
        </w:rPr>
        <w:t>1) Clarifying that SCS is based on SCS of active BWP</w:t>
      </w:r>
    </w:p>
    <w:p w14:paraId="75CFE59F" w14:textId="77777777" w:rsidR="00B06A2E" w:rsidRDefault="00B06A2E" w:rsidP="00B06A2E">
      <w:pPr>
        <w:pStyle w:val="PatentBody"/>
        <w:numPr>
          <w:ilvl w:val="0"/>
          <w:numId w:val="0"/>
        </w:numPr>
        <w:spacing w:after="60" w:line="240" w:lineRule="auto"/>
        <w:ind w:left="284"/>
        <w:jc w:val="both"/>
        <w:rPr>
          <w:b/>
          <w:sz w:val="20"/>
        </w:rPr>
      </w:pPr>
      <w:r w:rsidRPr="00E61AD1">
        <w:rPr>
          <w:b/>
          <w:sz w:val="20"/>
        </w:rPr>
        <w:t>2) Clarifying that SCS is based on SCS of initial BWP</w:t>
      </w:r>
    </w:p>
    <w:p w14:paraId="43A90AF5" w14:textId="77777777" w:rsidR="00B06A2E" w:rsidRPr="00E61AD1" w:rsidRDefault="00B06A2E" w:rsidP="00B06A2E">
      <w:pPr>
        <w:pStyle w:val="PatentBody"/>
        <w:numPr>
          <w:ilvl w:val="0"/>
          <w:numId w:val="0"/>
        </w:numPr>
        <w:spacing w:after="60" w:line="240" w:lineRule="auto"/>
        <w:ind w:left="284"/>
        <w:jc w:val="both"/>
        <w:rPr>
          <w:b/>
          <w:sz w:val="20"/>
        </w:rPr>
      </w:pPr>
      <w:r>
        <w:rPr>
          <w:b/>
          <w:sz w:val="20"/>
        </w:rPr>
        <w:t>3) Any other solution</w:t>
      </w:r>
    </w:p>
    <w:p w14:paraId="31B1A043" w14:textId="4E62E921" w:rsidR="001213B8" w:rsidRPr="00906B44" w:rsidRDefault="001213B8" w:rsidP="00FF2CDC">
      <w:pPr>
        <w:jc w:val="both"/>
        <w:rPr>
          <w:b/>
        </w:rPr>
      </w:pPr>
    </w:p>
    <w:p w14:paraId="6408D72B" w14:textId="59651DF4" w:rsidR="0083484D" w:rsidRPr="00FF7C4E" w:rsidRDefault="00051DF8" w:rsidP="0083484D">
      <w:pPr>
        <w:pStyle w:val="Heading1"/>
      </w:pPr>
      <w:r>
        <w:t>Reference</w:t>
      </w:r>
      <w:r w:rsidR="0083484D" w:rsidRPr="00001886">
        <w:t xml:space="preserve"> </w:t>
      </w:r>
    </w:p>
    <w:p w14:paraId="332E0275" w14:textId="335856C1" w:rsidR="009E5063" w:rsidRDefault="009E5063" w:rsidP="00E15297">
      <w:pPr>
        <w:pStyle w:val="references"/>
        <w:spacing w:after="180" w:line="240" w:lineRule="auto"/>
        <w:rPr>
          <w:rFonts w:ascii="Arial" w:hAnsi="Arial" w:cs="Arial"/>
          <w:szCs w:val="20"/>
        </w:rPr>
      </w:pPr>
      <w:r w:rsidRPr="009E5063">
        <w:rPr>
          <w:rFonts w:ascii="Arial" w:hAnsi="Arial" w:cs="Arial"/>
          <w:szCs w:val="20"/>
        </w:rPr>
        <w:t>RP-230279, Revised WID on Air-to-Ground network for NR, CMCC, RAN#99, March, 2023</w:t>
      </w:r>
      <w:r>
        <w:rPr>
          <w:rFonts w:ascii="Arial" w:hAnsi="Arial" w:cs="Arial"/>
          <w:szCs w:val="20"/>
        </w:rPr>
        <w:t>.</w:t>
      </w:r>
    </w:p>
    <w:p w14:paraId="5F04F544" w14:textId="3D708817" w:rsidR="000612FF" w:rsidRDefault="000612FF" w:rsidP="00E15297">
      <w:pPr>
        <w:pStyle w:val="references"/>
        <w:spacing w:after="180" w:line="240" w:lineRule="auto"/>
        <w:rPr>
          <w:rFonts w:ascii="Arial" w:hAnsi="Arial" w:cs="Arial"/>
          <w:szCs w:val="20"/>
        </w:rPr>
      </w:pPr>
      <w:r>
        <w:rPr>
          <w:rFonts w:ascii="Arial" w:hAnsi="Arial" w:cs="Arial"/>
          <w:szCs w:val="20"/>
        </w:rPr>
        <w:t xml:space="preserve">3GPP </w:t>
      </w:r>
      <w:r w:rsidR="00732348">
        <w:rPr>
          <w:rFonts w:ascii="Arial" w:hAnsi="Arial" w:cs="Arial"/>
          <w:szCs w:val="20"/>
        </w:rPr>
        <w:t xml:space="preserve">TR </w:t>
      </w:r>
      <w:r>
        <w:rPr>
          <w:rFonts w:ascii="Arial" w:hAnsi="Arial" w:cs="Arial"/>
          <w:szCs w:val="20"/>
        </w:rPr>
        <w:t xml:space="preserve">38.876, “Study on Air-to-Ground network for NR”, Release 18, V0.4.0, May 2023. </w:t>
      </w:r>
    </w:p>
    <w:p w14:paraId="18C43F94" w14:textId="04034E7C" w:rsidR="00732348" w:rsidRDefault="00732348" w:rsidP="00E15297">
      <w:pPr>
        <w:pStyle w:val="references"/>
        <w:spacing w:after="180" w:line="240" w:lineRule="auto"/>
        <w:rPr>
          <w:rFonts w:ascii="Arial" w:hAnsi="Arial" w:cs="Arial"/>
          <w:szCs w:val="20"/>
        </w:rPr>
      </w:pPr>
      <w:r>
        <w:rPr>
          <w:rFonts w:ascii="Arial" w:hAnsi="Arial" w:cs="Arial"/>
          <w:szCs w:val="20"/>
        </w:rPr>
        <w:t>3GPP TS 38.331, “</w:t>
      </w:r>
      <w:r w:rsidR="00620592">
        <w:rPr>
          <w:rFonts w:ascii="Arial" w:hAnsi="Arial" w:cs="Arial"/>
          <w:szCs w:val="20"/>
        </w:rPr>
        <w:t>Radio Resource Control (RRC) protocol specification</w:t>
      </w:r>
      <w:r>
        <w:rPr>
          <w:rFonts w:ascii="Arial" w:hAnsi="Arial" w:cs="Arial"/>
          <w:szCs w:val="20"/>
        </w:rPr>
        <w:t>”</w:t>
      </w:r>
      <w:r w:rsidR="00620592">
        <w:rPr>
          <w:rFonts w:ascii="Arial" w:hAnsi="Arial" w:cs="Arial"/>
          <w:szCs w:val="20"/>
        </w:rPr>
        <w:t>, Release 18, V18.1.0, March</w:t>
      </w:r>
      <w:r>
        <w:rPr>
          <w:rFonts w:ascii="Arial" w:hAnsi="Arial" w:cs="Arial"/>
          <w:szCs w:val="20"/>
        </w:rPr>
        <w:t xml:space="preserve"> 2024. </w:t>
      </w:r>
    </w:p>
    <w:p w14:paraId="1521AB13" w14:textId="76B39883" w:rsidR="00732348" w:rsidRPr="00732348" w:rsidRDefault="00732348" w:rsidP="00732348">
      <w:pPr>
        <w:pStyle w:val="references"/>
        <w:spacing w:after="180" w:line="240" w:lineRule="auto"/>
        <w:rPr>
          <w:rFonts w:ascii="Arial" w:hAnsi="Arial" w:cs="Arial"/>
          <w:szCs w:val="20"/>
        </w:rPr>
      </w:pPr>
      <w:r>
        <w:rPr>
          <w:rFonts w:ascii="Arial" w:hAnsi="Arial" w:cs="Arial"/>
          <w:szCs w:val="20"/>
        </w:rPr>
        <w:t xml:space="preserve">3GPP TS 38.321, </w:t>
      </w:r>
      <w:r w:rsidR="00620592">
        <w:rPr>
          <w:rFonts w:ascii="Arial" w:hAnsi="Arial" w:cs="Arial"/>
          <w:szCs w:val="20"/>
        </w:rPr>
        <w:t>“Medium Access Control (MAC) protocol specification”</w:t>
      </w:r>
      <w:r>
        <w:rPr>
          <w:rFonts w:ascii="Arial" w:hAnsi="Arial" w:cs="Arial"/>
          <w:szCs w:val="20"/>
        </w:rPr>
        <w:t xml:space="preserve">, Release 18, V18.1.0, April 2024. </w:t>
      </w:r>
    </w:p>
    <w:p w14:paraId="6A888A11" w14:textId="4E627501" w:rsidR="007802C8" w:rsidRDefault="007802C8" w:rsidP="00716E75">
      <w:pPr>
        <w:rPr>
          <w:lang w:val="en-GB" w:eastAsia="en-US"/>
        </w:rPr>
      </w:pPr>
    </w:p>
    <w:sectPr w:rsidR="007802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DE875" w14:textId="77777777" w:rsidR="00F14291" w:rsidRDefault="00F14291" w:rsidP="00051DF8">
      <w:r>
        <w:separator/>
      </w:r>
    </w:p>
  </w:endnote>
  <w:endnote w:type="continuationSeparator" w:id="0">
    <w:p w14:paraId="1DE552A5" w14:textId="77777777" w:rsidR="00F14291" w:rsidRDefault="00F14291" w:rsidP="00051DF8">
      <w:r>
        <w:continuationSeparator/>
      </w:r>
    </w:p>
  </w:endnote>
  <w:endnote w:type="continuationNotice" w:id="1">
    <w:p w14:paraId="7D0FF7CB" w14:textId="77777777" w:rsidR="00F14291" w:rsidRDefault="00F1429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098AD" w14:textId="77777777" w:rsidR="00F14291" w:rsidRDefault="00F14291" w:rsidP="00051DF8">
      <w:r>
        <w:separator/>
      </w:r>
    </w:p>
  </w:footnote>
  <w:footnote w:type="continuationSeparator" w:id="0">
    <w:p w14:paraId="4E82351D" w14:textId="77777777" w:rsidR="00F14291" w:rsidRDefault="00F14291" w:rsidP="00051DF8">
      <w:r>
        <w:continuationSeparator/>
      </w:r>
    </w:p>
  </w:footnote>
  <w:footnote w:type="continuationNotice" w:id="1">
    <w:p w14:paraId="4C263270" w14:textId="77777777" w:rsidR="00F14291" w:rsidRDefault="00F1429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5334F9"/>
    <w:multiLevelType w:val="hybridMultilevel"/>
    <w:tmpl w:val="2EEA2C26"/>
    <w:lvl w:ilvl="0" w:tplc="7E9220EA">
      <w:start w:val="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1602D3"/>
    <w:multiLevelType w:val="hybridMultilevel"/>
    <w:tmpl w:val="B0A6771E"/>
    <w:lvl w:ilvl="0" w:tplc="7CC40FCE">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A40B1"/>
    <w:multiLevelType w:val="hybridMultilevel"/>
    <w:tmpl w:val="D42ACDD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1"/>
  </w:num>
  <w:num w:numId="4">
    <w:abstractNumId w:val="17"/>
  </w:num>
  <w:num w:numId="5">
    <w:abstractNumId w:val="18"/>
  </w:num>
  <w:num w:numId="6">
    <w:abstractNumId w:val="15"/>
  </w:num>
  <w:num w:numId="7">
    <w:abstractNumId w:val="9"/>
  </w:num>
  <w:num w:numId="8">
    <w:abstractNumId w:val="19"/>
  </w:num>
  <w:num w:numId="9">
    <w:abstractNumId w:val="11"/>
  </w:num>
  <w:num w:numId="10">
    <w:abstractNumId w:val="5"/>
  </w:num>
  <w:num w:numId="11">
    <w:abstractNumId w:val="27"/>
  </w:num>
  <w:num w:numId="12">
    <w:abstractNumId w:val="16"/>
  </w:num>
  <w:num w:numId="13">
    <w:abstractNumId w:val="4"/>
  </w:num>
  <w:num w:numId="14">
    <w:abstractNumId w:val="28"/>
  </w:num>
  <w:num w:numId="15">
    <w:abstractNumId w:val="29"/>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6"/>
  </w:num>
  <w:num w:numId="19">
    <w:abstractNumId w:val="2"/>
  </w:num>
  <w:num w:numId="20">
    <w:abstractNumId w:val="12"/>
  </w:num>
  <w:num w:numId="21">
    <w:abstractNumId w:val="14"/>
  </w:num>
  <w:num w:numId="22">
    <w:abstractNumId w:val="13"/>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7"/>
  </w:num>
  <w:num w:numId="25">
    <w:abstractNumId w:val="22"/>
  </w:num>
  <w:num w:numId="26">
    <w:abstractNumId w:val="25"/>
  </w:num>
  <w:num w:numId="27">
    <w:abstractNumId w:val="3"/>
  </w:num>
  <w:num w:numId="28">
    <w:abstractNumId w:val="10"/>
  </w:num>
  <w:num w:numId="29">
    <w:abstractNumId w:val="6"/>
  </w:num>
  <w:num w:numId="30">
    <w:abstractNumId w:val="20"/>
  </w:num>
  <w:num w:numId="3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31A6"/>
    <w:rsid w:val="000038B6"/>
    <w:rsid w:val="00007761"/>
    <w:rsid w:val="00007CAB"/>
    <w:rsid w:val="00010154"/>
    <w:rsid w:val="00011384"/>
    <w:rsid w:val="0001163B"/>
    <w:rsid w:val="00011C8D"/>
    <w:rsid w:val="00013C0C"/>
    <w:rsid w:val="00013CDB"/>
    <w:rsid w:val="00014BC5"/>
    <w:rsid w:val="00014C66"/>
    <w:rsid w:val="000153CC"/>
    <w:rsid w:val="0001578E"/>
    <w:rsid w:val="00015950"/>
    <w:rsid w:val="000162E9"/>
    <w:rsid w:val="000163E2"/>
    <w:rsid w:val="00016554"/>
    <w:rsid w:val="00016557"/>
    <w:rsid w:val="00022257"/>
    <w:rsid w:val="00022927"/>
    <w:rsid w:val="0002299F"/>
    <w:rsid w:val="00022A2E"/>
    <w:rsid w:val="00023C40"/>
    <w:rsid w:val="00025377"/>
    <w:rsid w:val="00025423"/>
    <w:rsid w:val="00026BFC"/>
    <w:rsid w:val="00027DC5"/>
    <w:rsid w:val="0003008A"/>
    <w:rsid w:val="000302F2"/>
    <w:rsid w:val="00032642"/>
    <w:rsid w:val="00033397"/>
    <w:rsid w:val="00035DF0"/>
    <w:rsid w:val="000375A6"/>
    <w:rsid w:val="00040095"/>
    <w:rsid w:val="00040388"/>
    <w:rsid w:val="000403D7"/>
    <w:rsid w:val="00040932"/>
    <w:rsid w:val="0004169F"/>
    <w:rsid w:val="00042C77"/>
    <w:rsid w:val="000437CC"/>
    <w:rsid w:val="0004383E"/>
    <w:rsid w:val="0004394B"/>
    <w:rsid w:val="0004585B"/>
    <w:rsid w:val="00046F50"/>
    <w:rsid w:val="000472BC"/>
    <w:rsid w:val="00050CE6"/>
    <w:rsid w:val="00051A55"/>
    <w:rsid w:val="00051D35"/>
    <w:rsid w:val="00051DF8"/>
    <w:rsid w:val="00052840"/>
    <w:rsid w:val="00054CB8"/>
    <w:rsid w:val="0005588D"/>
    <w:rsid w:val="00056891"/>
    <w:rsid w:val="0006015C"/>
    <w:rsid w:val="000612FF"/>
    <w:rsid w:val="00065268"/>
    <w:rsid w:val="00070BD9"/>
    <w:rsid w:val="00071C4F"/>
    <w:rsid w:val="00072646"/>
    <w:rsid w:val="00073C9C"/>
    <w:rsid w:val="00073CA1"/>
    <w:rsid w:val="0007792A"/>
    <w:rsid w:val="00080512"/>
    <w:rsid w:val="00081240"/>
    <w:rsid w:val="0008300C"/>
    <w:rsid w:val="00083442"/>
    <w:rsid w:val="0008378E"/>
    <w:rsid w:val="00083EF4"/>
    <w:rsid w:val="00085269"/>
    <w:rsid w:val="00090468"/>
    <w:rsid w:val="00090CD4"/>
    <w:rsid w:val="000911B7"/>
    <w:rsid w:val="000912F4"/>
    <w:rsid w:val="000914AC"/>
    <w:rsid w:val="00094568"/>
    <w:rsid w:val="00094C6B"/>
    <w:rsid w:val="000A0E5C"/>
    <w:rsid w:val="000A4C20"/>
    <w:rsid w:val="000A60C3"/>
    <w:rsid w:val="000A74E8"/>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C7ABA"/>
    <w:rsid w:val="000D2E51"/>
    <w:rsid w:val="000D3336"/>
    <w:rsid w:val="000D4B95"/>
    <w:rsid w:val="000D58AB"/>
    <w:rsid w:val="000D64F1"/>
    <w:rsid w:val="000D6E3F"/>
    <w:rsid w:val="000D7233"/>
    <w:rsid w:val="000D75DC"/>
    <w:rsid w:val="000D7A89"/>
    <w:rsid w:val="000E01FF"/>
    <w:rsid w:val="000E035E"/>
    <w:rsid w:val="000E12D2"/>
    <w:rsid w:val="000E3934"/>
    <w:rsid w:val="000E39A7"/>
    <w:rsid w:val="000E4069"/>
    <w:rsid w:val="000E5108"/>
    <w:rsid w:val="000E6075"/>
    <w:rsid w:val="000F355D"/>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13B8"/>
    <w:rsid w:val="00121B78"/>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474A4"/>
    <w:rsid w:val="001500B8"/>
    <w:rsid w:val="00151852"/>
    <w:rsid w:val="001518AE"/>
    <w:rsid w:val="001544EB"/>
    <w:rsid w:val="00155E69"/>
    <w:rsid w:val="00160C9E"/>
    <w:rsid w:val="001617E5"/>
    <w:rsid w:val="00163768"/>
    <w:rsid w:val="00165A0D"/>
    <w:rsid w:val="00166728"/>
    <w:rsid w:val="00166745"/>
    <w:rsid w:val="0016794B"/>
    <w:rsid w:val="00167996"/>
    <w:rsid w:val="001706EE"/>
    <w:rsid w:val="0017080A"/>
    <w:rsid w:val="00170E0B"/>
    <w:rsid w:val="00170E52"/>
    <w:rsid w:val="00171DA1"/>
    <w:rsid w:val="0017409C"/>
    <w:rsid w:val="001741A0"/>
    <w:rsid w:val="00174291"/>
    <w:rsid w:val="00175FA0"/>
    <w:rsid w:val="00180692"/>
    <w:rsid w:val="00182627"/>
    <w:rsid w:val="00182E67"/>
    <w:rsid w:val="00183778"/>
    <w:rsid w:val="00183F73"/>
    <w:rsid w:val="001841BF"/>
    <w:rsid w:val="001845D5"/>
    <w:rsid w:val="0018515E"/>
    <w:rsid w:val="00185BC1"/>
    <w:rsid w:val="00186138"/>
    <w:rsid w:val="00186370"/>
    <w:rsid w:val="00187027"/>
    <w:rsid w:val="00190972"/>
    <w:rsid w:val="00190CFF"/>
    <w:rsid w:val="00191EFD"/>
    <w:rsid w:val="001920E7"/>
    <w:rsid w:val="001921CE"/>
    <w:rsid w:val="00194515"/>
    <w:rsid w:val="00194CD0"/>
    <w:rsid w:val="0019500E"/>
    <w:rsid w:val="001962AF"/>
    <w:rsid w:val="00197FF3"/>
    <w:rsid w:val="001A01C3"/>
    <w:rsid w:val="001A18D7"/>
    <w:rsid w:val="001A258F"/>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3DF2"/>
    <w:rsid w:val="001D4DE5"/>
    <w:rsid w:val="001D6647"/>
    <w:rsid w:val="001E0676"/>
    <w:rsid w:val="001E1584"/>
    <w:rsid w:val="001E63B3"/>
    <w:rsid w:val="001F168B"/>
    <w:rsid w:val="001F7831"/>
    <w:rsid w:val="002013CD"/>
    <w:rsid w:val="00204045"/>
    <w:rsid w:val="00206F87"/>
    <w:rsid w:val="0020712B"/>
    <w:rsid w:val="002100EA"/>
    <w:rsid w:val="0021231D"/>
    <w:rsid w:val="00212942"/>
    <w:rsid w:val="00214804"/>
    <w:rsid w:val="00214A0D"/>
    <w:rsid w:val="00216876"/>
    <w:rsid w:val="00216998"/>
    <w:rsid w:val="002171B2"/>
    <w:rsid w:val="00220815"/>
    <w:rsid w:val="002219AC"/>
    <w:rsid w:val="00221AD8"/>
    <w:rsid w:val="00222A8D"/>
    <w:rsid w:val="002234EC"/>
    <w:rsid w:val="00223515"/>
    <w:rsid w:val="00223FCA"/>
    <w:rsid w:val="00224AAB"/>
    <w:rsid w:val="0022606D"/>
    <w:rsid w:val="002264D3"/>
    <w:rsid w:val="002277C7"/>
    <w:rsid w:val="002278FD"/>
    <w:rsid w:val="00230FE8"/>
    <w:rsid w:val="002311B1"/>
    <w:rsid w:val="00231728"/>
    <w:rsid w:val="002346A7"/>
    <w:rsid w:val="00234C99"/>
    <w:rsid w:val="00235896"/>
    <w:rsid w:val="0023661D"/>
    <w:rsid w:val="0024324A"/>
    <w:rsid w:val="00243DE1"/>
    <w:rsid w:val="00244A05"/>
    <w:rsid w:val="002451BB"/>
    <w:rsid w:val="002455B8"/>
    <w:rsid w:val="00247550"/>
    <w:rsid w:val="00250404"/>
    <w:rsid w:val="00250645"/>
    <w:rsid w:val="002508F7"/>
    <w:rsid w:val="00252F43"/>
    <w:rsid w:val="002541E6"/>
    <w:rsid w:val="002548DB"/>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104B"/>
    <w:rsid w:val="00291254"/>
    <w:rsid w:val="00292EB4"/>
    <w:rsid w:val="00292FC9"/>
    <w:rsid w:val="00297B27"/>
    <w:rsid w:val="002A024D"/>
    <w:rsid w:val="002A11EC"/>
    <w:rsid w:val="002A3017"/>
    <w:rsid w:val="002A32C4"/>
    <w:rsid w:val="002A3860"/>
    <w:rsid w:val="002A47CF"/>
    <w:rsid w:val="002A4DB2"/>
    <w:rsid w:val="002A541C"/>
    <w:rsid w:val="002A7486"/>
    <w:rsid w:val="002A758C"/>
    <w:rsid w:val="002A7C84"/>
    <w:rsid w:val="002B0F64"/>
    <w:rsid w:val="002B167D"/>
    <w:rsid w:val="002B1C68"/>
    <w:rsid w:val="002B1D88"/>
    <w:rsid w:val="002B252B"/>
    <w:rsid w:val="002B2628"/>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1875"/>
    <w:rsid w:val="002E246F"/>
    <w:rsid w:val="002E26C0"/>
    <w:rsid w:val="002E6CAE"/>
    <w:rsid w:val="002E79BB"/>
    <w:rsid w:val="002F0D22"/>
    <w:rsid w:val="002F0E53"/>
    <w:rsid w:val="002F12A5"/>
    <w:rsid w:val="002F244D"/>
    <w:rsid w:val="002F3DF3"/>
    <w:rsid w:val="00300777"/>
    <w:rsid w:val="003011D9"/>
    <w:rsid w:val="003035B0"/>
    <w:rsid w:val="00303B16"/>
    <w:rsid w:val="0030563B"/>
    <w:rsid w:val="00305DAA"/>
    <w:rsid w:val="00306241"/>
    <w:rsid w:val="003073B9"/>
    <w:rsid w:val="003105EB"/>
    <w:rsid w:val="00310D9A"/>
    <w:rsid w:val="00311B17"/>
    <w:rsid w:val="003133F1"/>
    <w:rsid w:val="00313FE1"/>
    <w:rsid w:val="003155EF"/>
    <w:rsid w:val="003172DC"/>
    <w:rsid w:val="00320613"/>
    <w:rsid w:val="0032086B"/>
    <w:rsid w:val="003211D6"/>
    <w:rsid w:val="00322B3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0AA4"/>
    <w:rsid w:val="00343806"/>
    <w:rsid w:val="003463C4"/>
    <w:rsid w:val="00347B20"/>
    <w:rsid w:val="00350D7C"/>
    <w:rsid w:val="00351428"/>
    <w:rsid w:val="003519FA"/>
    <w:rsid w:val="00351CAD"/>
    <w:rsid w:val="00352175"/>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6BED"/>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4EC8"/>
    <w:rsid w:val="00395772"/>
    <w:rsid w:val="003972FF"/>
    <w:rsid w:val="00397A41"/>
    <w:rsid w:val="003A133F"/>
    <w:rsid w:val="003A160E"/>
    <w:rsid w:val="003A229C"/>
    <w:rsid w:val="003A3430"/>
    <w:rsid w:val="003A3DB5"/>
    <w:rsid w:val="003A41EF"/>
    <w:rsid w:val="003A527F"/>
    <w:rsid w:val="003A565C"/>
    <w:rsid w:val="003A72B4"/>
    <w:rsid w:val="003A7CFE"/>
    <w:rsid w:val="003B2EAB"/>
    <w:rsid w:val="003B40AD"/>
    <w:rsid w:val="003B6290"/>
    <w:rsid w:val="003B6C01"/>
    <w:rsid w:val="003B73F6"/>
    <w:rsid w:val="003B79E3"/>
    <w:rsid w:val="003C1636"/>
    <w:rsid w:val="003C1A2A"/>
    <w:rsid w:val="003C237F"/>
    <w:rsid w:val="003C291C"/>
    <w:rsid w:val="003C311A"/>
    <w:rsid w:val="003C4E37"/>
    <w:rsid w:val="003C5533"/>
    <w:rsid w:val="003C5DF8"/>
    <w:rsid w:val="003C6155"/>
    <w:rsid w:val="003D127F"/>
    <w:rsid w:val="003D3349"/>
    <w:rsid w:val="003D3519"/>
    <w:rsid w:val="003D4028"/>
    <w:rsid w:val="003D4B16"/>
    <w:rsid w:val="003D63CA"/>
    <w:rsid w:val="003D7AEF"/>
    <w:rsid w:val="003E00AE"/>
    <w:rsid w:val="003E01A2"/>
    <w:rsid w:val="003E0330"/>
    <w:rsid w:val="003E136B"/>
    <w:rsid w:val="003E13E8"/>
    <w:rsid w:val="003E16BE"/>
    <w:rsid w:val="003E17A4"/>
    <w:rsid w:val="003E676B"/>
    <w:rsid w:val="003E6DE3"/>
    <w:rsid w:val="003F11FC"/>
    <w:rsid w:val="003F1950"/>
    <w:rsid w:val="003F24B6"/>
    <w:rsid w:val="003F2920"/>
    <w:rsid w:val="003F3214"/>
    <w:rsid w:val="003F4E28"/>
    <w:rsid w:val="003F5898"/>
    <w:rsid w:val="003F6A15"/>
    <w:rsid w:val="003F7CC9"/>
    <w:rsid w:val="004006E8"/>
    <w:rsid w:val="00401855"/>
    <w:rsid w:val="0040228D"/>
    <w:rsid w:val="00403EEB"/>
    <w:rsid w:val="0040702D"/>
    <w:rsid w:val="00413F2F"/>
    <w:rsid w:val="00414017"/>
    <w:rsid w:val="00414C6D"/>
    <w:rsid w:val="00415F7B"/>
    <w:rsid w:val="004174EF"/>
    <w:rsid w:val="00420CC4"/>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2C2E"/>
    <w:rsid w:val="004433CF"/>
    <w:rsid w:val="0044406B"/>
    <w:rsid w:val="00444309"/>
    <w:rsid w:val="004454E3"/>
    <w:rsid w:val="0044738E"/>
    <w:rsid w:val="0044778D"/>
    <w:rsid w:val="00451660"/>
    <w:rsid w:val="00452280"/>
    <w:rsid w:val="00460A99"/>
    <w:rsid w:val="00461101"/>
    <w:rsid w:val="00463D4C"/>
    <w:rsid w:val="00465587"/>
    <w:rsid w:val="004657C7"/>
    <w:rsid w:val="00465C07"/>
    <w:rsid w:val="00466E1F"/>
    <w:rsid w:val="0046720C"/>
    <w:rsid w:val="0047086C"/>
    <w:rsid w:val="004713A3"/>
    <w:rsid w:val="00473E23"/>
    <w:rsid w:val="004750A2"/>
    <w:rsid w:val="0047636B"/>
    <w:rsid w:val="00477252"/>
    <w:rsid w:val="00477455"/>
    <w:rsid w:val="004779FB"/>
    <w:rsid w:val="004853C0"/>
    <w:rsid w:val="00487060"/>
    <w:rsid w:val="004901A6"/>
    <w:rsid w:val="00490325"/>
    <w:rsid w:val="00490594"/>
    <w:rsid w:val="00490C92"/>
    <w:rsid w:val="00491000"/>
    <w:rsid w:val="00491FF5"/>
    <w:rsid w:val="004937F8"/>
    <w:rsid w:val="00493A0E"/>
    <w:rsid w:val="00494952"/>
    <w:rsid w:val="00497234"/>
    <w:rsid w:val="004977B3"/>
    <w:rsid w:val="00497894"/>
    <w:rsid w:val="004A10EE"/>
    <w:rsid w:val="004A1305"/>
    <w:rsid w:val="004A1F7B"/>
    <w:rsid w:val="004A3412"/>
    <w:rsid w:val="004A34B4"/>
    <w:rsid w:val="004A34E6"/>
    <w:rsid w:val="004A40FB"/>
    <w:rsid w:val="004A4FC5"/>
    <w:rsid w:val="004A5014"/>
    <w:rsid w:val="004B1812"/>
    <w:rsid w:val="004B18E1"/>
    <w:rsid w:val="004B1D6A"/>
    <w:rsid w:val="004B2692"/>
    <w:rsid w:val="004B32EB"/>
    <w:rsid w:val="004B3BE8"/>
    <w:rsid w:val="004B64B4"/>
    <w:rsid w:val="004B77BE"/>
    <w:rsid w:val="004B7BCF"/>
    <w:rsid w:val="004C0C6E"/>
    <w:rsid w:val="004C0E9E"/>
    <w:rsid w:val="004C1059"/>
    <w:rsid w:val="004C14B0"/>
    <w:rsid w:val="004C25E8"/>
    <w:rsid w:val="004C3DCD"/>
    <w:rsid w:val="004C4441"/>
    <w:rsid w:val="004C44D2"/>
    <w:rsid w:val="004C52D8"/>
    <w:rsid w:val="004C5548"/>
    <w:rsid w:val="004C6543"/>
    <w:rsid w:val="004C6AC1"/>
    <w:rsid w:val="004C6EF6"/>
    <w:rsid w:val="004C7D38"/>
    <w:rsid w:val="004D12EF"/>
    <w:rsid w:val="004D2720"/>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6029"/>
    <w:rsid w:val="004F73A7"/>
    <w:rsid w:val="004F7C51"/>
    <w:rsid w:val="004F7E11"/>
    <w:rsid w:val="004F7EB5"/>
    <w:rsid w:val="00501D49"/>
    <w:rsid w:val="00501DFB"/>
    <w:rsid w:val="00503171"/>
    <w:rsid w:val="00503CB5"/>
    <w:rsid w:val="00503F7D"/>
    <w:rsid w:val="0050441E"/>
    <w:rsid w:val="00506C28"/>
    <w:rsid w:val="005075B6"/>
    <w:rsid w:val="005114D6"/>
    <w:rsid w:val="005119B7"/>
    <w:rsid w:val="00512CE8"/>
    <w:rsid w:val="005134A6"/>
    <w:rsid w:val="00514BC1"/>
    <w:rsid w:val="005154AF"/>
    <w:rsid w:val="00516A0D"/>
    <w:rsid w:val="00517970"/>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0744"/>
    <w:rsid w:val="00540CDF"/>
    <w:rsid w:val="00541037"/>
    <w:rsid w:val="00541D5B"/>
    <w:rsid w:val="00542000"/>
    <w:rsid w:val="00542C9D"/>
    <w:rsid w:val="00543E6C"/>
    <w:rsid w:val="005457F0"/>
    <w:rsid w:val="0054761B"/>
    <w:rsid w:val="00547A10"/>
    <w:rsid w:val="00547C85"/>
    <w:rsid w:val="00551763"/>
    <w:rsid w:val="005525D5"/>
    <w:rsid w:val="005528EF"/>
    <w:rsid w:val="0055422F"/>
    <w:rsid w:val="005545EE"/>
    <w:rsid w:val="00555528"/>
    <w:rsid w:val="0055634B"/>
    <w:rsid w:val="00557338"/>
    <w:rsid w:val="005625DD"/>
    <w:rsid w:val="005642A1"/>
    <w:rsid w:val="00565087"/>
    <w:rsid w:val="0056573F"/>
    <w:rsid w:val="0056656C"/>
    <w:rsid w:val="00566ECC"/>
    <w:rsid w:val="00570664"/>
    <w:rsid w:val="00571279"/>
    <w:rsid w:val="00571A77"/>
    <w:rsid w:val="00571FF9"/>
    <w:rsid w:val="00572564"/>
    <w:rsid w:val="00572895"/>
    <w:rsid w:val="005739BD"/>
    <w:rsid w:val="005739CE"/>
    <w:rsid w:val="00573DDC"/>
    <w:rsid w:val="00575070"/>
    <w:rsid w:val="005752D5"/>
    <w:rsid w:val="0057598B"/>
    <w:rsid w:val="0058077E"/>
    <w:rsid w:val="00583007"/>
    <w:rsid w:val="00584044"/>
    <w:rsid w:val="0058460B"/>
    <w:rsid w:val="005874BE"/>
    <w:rsid w:val="00590344"/>
    <w:rsid w:val="00591E74"/>
    <w:rsid w:val="00592D66"/>
    <w:rsid w:val="0059328F"/>
    <w:rsid w:val="00593C0A"/>
    <w:rsid w:val="005943E2"/>
    <w:rsid w:val="00594B6F"/>
    <w:rsid w:val="005952DD"/>
    <w:rsid w:val="00595AAB"/>
    <w:rsid w:val="00596097"/>
    <w:rsid w:val="00596B5D"/>
    <w:rsid w:val="00596B64"/>
    <w:rsid w:val="00597D9A"/>
    <w:rsid w:val="005A4665"/>
    <w:rsid w:val="005A49C6"/>
    <w:rsid w:val="005A4D6D"/>
    <w:rsid w:val="005A523F"/>
    <w:rsid w:val="005A68D5"/>
    <w:rsid w:val="005A6CA2"/>
    <w:rsid w:val="005B3FCE"/>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1153"/>
    <w:rsid w:val="005D2171"/>
    <w:rsid w:val="005D2BF6"/>
    <w:rsid w:val="005D2ED5"/>
    <w:rsid w:val="005D3808"/>
    <w:rsid w:val="005D4207"/>
    <w:rsid w:val="005D6E49"/>
    <w:rsid w:val="005D725F"/>
    <w:rsid w:val="005E28FB"/>
    <w:rsid w:val="005E6655"/>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20592"/>
    <w:rsid w:val="0062104F"/>
    <w:rsid w:val="00622FDA"/>
    <w:rsid w:val="00624026"/>
    <w:rsid w:val="00624813"/>
    <w:rsid w:val="00624C07"/>
    <w:rsid w:val="0062582C"/>
    <w:rsid w:val="00625A91"/>
    <w:rsid w:val="00625B0A"/>
    <w:rsid w:val="00632396"/>
    <w:rsid w:val="006326D4"/>
    <w:rsid w:val="00632CAD"/>
    <w:rsid w:val="00635845"/>
    <w:rsid w:val="00640307"/>
    <w:rsid w:val="0064069C"/>
    <w:rsid w:val="0064295B"/>
    <w:rsid w:val="00646D99"/>
    <w:rsid w:val="00646E0A"/>
    <w:rsid w:val="00647056"/>
    <w:rsid w:val="006479C4"/>
    <w:rsid w:val="006504D6"/>
    <w:rsid w:val="00650567"/>
    <w:rsid w:val="006510E9"/>
    <w:rsid w:val="00652B9E"/>
    <w:rsid w:val="00653358"/>
    <w:rsid w:val="0065379F"/>
    <w:rsid w:val="0065415B"/>
    <w:rsid w:val="006541A1"/>
    <w:rsid w:val="00654596"/>
    <w:rsid w:val="00655298"/>
    <w:rsid w:val="00655E81"/>
    <w:rsid w:val="00656910"/>
    <w:rsid w:val="00656E05"/>
    <w:rsid w:val="006574C0"/>
    <w:rsid w:val="00657CA6"/>
    <w:rsid w:val="00657E08"/>
    <w:rsid w:val="00657F08"/>
    <w:rsid w:val="0066096B"/>
    <w:rsid w:val="00661B08"/>
    <w:rsid w:val="006662B7"/>
    <w:rsid w:val="0066642C"/>
    <w:rsid w:val="00670C14"/>
    <w:rsid w:val="00670EEF"/>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4F6E"/>
    <w:rsid w:val="006957BD"/>
    <w:rsid w:val="00695C34"/>
    <w:rsid w:val="00696821"/>
    <w:rsid w:val="006A064E"/>
    <w:rsid w:val="006A19A8"/>
    <w:rsid w:val="006A1A2B"/>
    <w:rsid w:val="006A242E"/>
    <w:rsid w:val="006A2F15"/>
    <w:rsid w:val="006A416F"/>
    <w:rsid w:val="006A4A4B"/>
    <w:rsid w:val="006B29AE"/>
    <w:rsid w:val="006B2C4A"/>
    <w:rsid w:val="006B30C3"/>
    <w:rsid w:val="006B6180"/>
    <w:rsid w:val="006C1B70"/>
    <w:rsid w:val="006C2167"/>
    <w:rsid w:val="006C66D8"/>
    <w:rsid w:val="006C6934"/>
    <w:rsid w:val="006C7C48"/>
    <w:rsid w:val="006D067F"/>
    <w:rsid w:val="006D17CE"/>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1DDF"/>
    <w:rsid w:val="006F69EC"/>
    <w:rsid w:val="006F6A2C"/>
    <w:rsid w:val="00701323"/>
    <w:rsid w:val="00701F5A"/>
    <w:rsid w:val="00702169"/>
    <w:rsid w:val="00704546"/>
    <w:rsid w:val="00705BC0"/>
    <w:rsid w:val="007069DC"/>
    <w:rsid w:val="00706CB0"/>
    <w:rsid w:val="00707581"/>
    <w:rsid w:val="00710201"/>
    <w:rsid w:val="007102CD"/>
    <w:rsid w:val="007102FC"/>
    <w:rsid w:val="00710D4C"/>
    <w:rsid w:val="0071194B"/>
    <w:rsid w:val="007129D3"/>
    <w:rsid w:val="00713E60"/>
    <w:rsid w:val="00714376"/>
    <w:rsid w:val="00716E75"/>
    <w:rsid w:val="0072073A"/>
    <w:rsid w:val="00721D97"/>
    <w:rsid w:val="007229D3"/>
    <w:rsid w:val="0072393B"/>
    <w:rsid w:val="00723B0B"/>
    <w:rsid w:val="00724F42"/>
    <w:rsid w:val="00725C33"/>
    <w:rsid w:val="0073133A"/>
    <w:rsid w:val="00732348"/>
    <w:rsid w:val="00732B74"/>
    <w:rsid w:val="007342B5"/>
    <w:rsid w:val="0073449A"/>
    <w:rsid w:val="00734A5B"/>
    <w:rsid w:val="007354D6"/>
    <w:rsid w:val="007357B9"/>
    <w:rsid w:val="00735835"/>
    <w:rsid w:val="0073620F"/>
    <w:rsid w:val="007367C1"/>
    <w:rsid w:val="00737A64"/>
    <w:rsid w:val="00737B6B"/>
    <w:rsid w:val="00740C0A"/>
    <w:rsid w:val="00742288"/>
    <w:rsid w:val="00742C27"/>
    <w:rsid w:val="007436DF"/>
    <w:rsid w:val="007440A0"/>
    <w:rsid w:val="00744E76"/>
    <w:rsid w:val="00745131"/>
    <w:rsid w:val="00745AC8"/>
    <w:rsid w:val="007469FD"/>
    <w:rsid w:val="007515BE"/>
    <w:rsid w:val="0075170F"/>
    <w:rsid w:val="007522E2"/>
    <w:rsid w:val="0075287B"/>
    <w:rsid w:val="00753AAF"/>
    <w:rsid w:val="00753B28"/>
    <w:rsid w:val="00754EB6"/>
    <w:rsid w:val="007550A9"/>
    <w:rsid w:val="00756E85"/>
    <w:rsid w:val="00757889"/>
    <w:rsid w:val="00757D40"/>
    <w:rsid w:val="00760805"/>
    <w:rsid w:val="00761926"/>
    <w:rsid w:val="0076307D"/>
    <w:rsid w:val="007643ED"/>
    <w:rsid w:val="0076607C"/>
    <w:rsid w:val="007662B5"/>
    <w:rsid w:val="00767443"/>
    <w:rsid w:val="007715DC"/>
    <w:rsid w:val="0077466B"/>
    <w:rsid w:val="00774940"/>
    <w:rsid w:val="0077751F"/>
    <w:rsid w:val="007778A0"/>
    <w:rsid w:val="00777B65"/>
    <w:rsid w:val="0078008C"/>
    <w:rsid w:val="007802C8"/>
    <w:rsid w:val="00781472"/>
    <w:rsid w:val="00781560"/>
    <w:rsid w:val="00781F0F"/>
    <w:rsid w:val="00782664"/>
    <w:rsid w:val="0078335E"/>
    <w:rsid w:val="007844C8"/>
    <w:rsid w:val="007848CB"/>
    <w:rsid w:val="0078534D"/>
    <w:rsid w:val="007864E8"/>
    <w:rsid w:val="0078727C"/>
    <w:rsid w:val="00787719"/>
    <w:rsid w:val="0079049D"/>
    <w:rsid w:val="007906ED"/>
    <w:rsid w:val="00790E93"/>
    <w:rsid w:val="00790F8E"/>
    <w:rsid w:val="00792B8E"/>
    <w:rsid w:val="00792C78"/>
    <w:rsid w:val="007933A9"/>
    <w:rsid w:val="00793B9D"/>
    <w:rsid w:val="00793DC5"/>
    <w:rsid w:val="00794B9A"/>
    <w:rsid w:val="00796823"/>
    <w:rsid w:val="00796FEA"/>
    <w:rsid w:val="00797AA0"/>
    <w:rsid w:val="007A2AFE"/>
    <w:rsid w:val="007A2E55"/>
    <w:rsid w:val="007A3137"/>
    <w:rsid w:val="007A3DFE"/>
    <w:rsid w:val="007A5901"/>
    <w:rsid w:val="007A6F6B"/>
    <w:rsid w:val="007A7099"/>
    <w:rsid w:val="007B09F5"/>
    <w:rsid w:val="007B18D8"/>
    <w:rsid w:val="007B2202"/>
    <w:rsid w:val="007B2A65"/>
    <w:rsid w:val="007B2E57"/>
    <w:rsid w:val="007B3C9A"/>
    <w:rsid w:val="007B6F80"/>
    <w:rsid w:val="007B746F"/>
    <w:rsid w:val="007C095F"/>
    <w:rsid w:val="007C1659"/>
    <w:rsid w:val="007C17D5"/>
    <w:rsid w:val="007C1A44"/>
    <w:rsid w:val="007C1C21"/>
    <w:rsid w:val="007C25AC"/>
    <w:rsid w:val="007C2DD0"/>
    <w:rsid w:val="007C2DED"/>
    <w:rsid w:val="007C563E"/>
    <w:rsid w:val="007C7B54"/>
    <w:rsid w:val="007C7BB8"/>
    <w:rsid w:val="007D01C9"/>
    <w:rsid w:val="007D06E6"/>
    <w:rsid w:val="007D1A7F"/>
    <w:rsid w:val="007D2689"/>
    <w:rsid w:val="007D2A9D"/>
    <w:rsid w:val="007D4F8A"/>
    <w:rsid w:val="007D4FB2"/>
    <w:rsid w:val="007D7826"/>
    <w:rsid w:val="007E1392"/>
    <w:rsid w:val="007E2EF9"/>
    <w:rsid w:val="007E3AEF"/>
    <w:rsid w:val="007E673B"/>
    <w:rsid w:val="007E7B86"/>
    <w:rsid w:val="007F03B5"/>
    <w:rsid w:val="007F09F2"/>
    <w:rsid w:val="007F1832"/>
    <w:rsid w:val="007F2D37"/>
    <w:rsid w:val="007F2E08"/>
    <w:rsid w:val="007F44E6"/>
    <w:rsid w:val="007F7EC4"/>
    <w:rsid w:val="00800199"/>
    <w:rsid w:val="00800B57"/>
    <w:rsid w:val="00801665"/>
    <w:rsid w:val="008028A4"/>
    <w:rsid w:val="008043F1"/>
    <w:rsid w:val="0080549E"/>
    <w:rsid w:val="008056ED"/>
    <w:rsid w:val="00807784"/>
    <w:rsid w:val="00807C64"/>
    <w:rsid w:val="00807E15"/>
    <w:rsid w:val="0081087E"/>
    <w:rsid w:val="00811105"/>
    <w:rsid w:val="00811D9D"/>
    <w:rsid w:val="00813245"/>
    <w:rsid w:val="00813453"/>
    <w:rsid w:val="00813F5D"/>
    <w:rsid w:val="00814381"/>
    <w:rsid w:val="00814BE5"/>
    <w:rsid w:val="0081574B"/>
    <w:rsid w:val="00815AA2"/>
    <w:rsid w:val="00820098"/>
    <w:rsid w:val="00822300"/>
    <w:rsid w:val="00825CF2"/>
    <w:rsid w:val="00827D94"/>
    <w:rsid w:val="00830B22"/>
    <w:rsid w:val="00830D64"/>
    <w:rsid w:val="00830E1C"/>
    <w:rsid w:val="00832DF3"/>
    <w:rsid w:val="008331ED"/>
    <w:rsid w:val="00833379"/>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3B15"/>
    <w:rsid w:val="00865EDE"/>
    <w:rsid w:val="00866A0C"/>
    <w:rsid w:val="008729B6"/>
    <w:rsid w:val="008732D6"/>
    <w:rsid w:val="008758D1"/>
    <w:rsid w:val="00875EB1"/>
    <w:rsid w:val="008762D8"/>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5A3"/>
    <w:rsid w:val="00892B0E"/>
    <w:rsid w:val="00892D9D"/>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0088"/>
    <w:rsid w:val="008D19D1"/>
    <w:rsid w:val="008D2E4D"/>
    <w:rsid w:val="008D3BA5"/>
    <w:rsid w:val="008D49D8"/>
    <w:rsid w:val="008D58F2"/>
    <w:rsid w:val="008D61D6"/>
    <w:rsid w:val="008D62A9"/>
    <w:rsid w:val="008D6817"/>
    <w:rsid w:val="008D76D9"/>
    <w:rsid w:val="008E06E8"/>
    <w:rsid w:val="008E0988"/>
    <w:rsid w:val="008E3CDE"/>
    <w:rsid w:val="008E46BF"/>
    <w:rsid w:val="008E4AF8"/>
    <w:rsid w:val="008E702C"/>
    <w:rsid w:val="008F1F75"/>
    <w:rsid w:val="008F38E3"/>
    <w:rsid w:val="008F396F"/>
    <w:rsid w:val="008F3DCD"/>
    <w:rsid w:val="008F590C"/>
    <w:rsid w:val="00900B3F"/>
    <w:rsid w:val="0090129C"/>
    <w:rsid w:val="00901D5C"/>
    <w:rsid w:val="0090271F"/>
    <w:rsid w:val="009027DA"/>
    <w:rsid w:val="00902DB9"/>
    <w:rsid w:val="00903709"/>
    <w:rsid w:val="0090466A"/>
    <w:rsid w:val="009057FD"/>
    <w:rsid w:val="0090642F"/>
    <w:rsid w:val="00906B44"/>
    <w:rsid w:val="00906CF1"/>
    <w:rsid w:val="00907FE0"/>
    <w:rsid w:val="0091035F"/>
    <w:rsid w:val="00910A6D"/>
    <w:rsid w:val="00911631"/>
    <w:rsid w:val="009130AC"/>
    <w:rsid w:val="0091363C"/>
    <w:rsid w:val="009139F6"/>
    <w:rsid w:val="00921E6D"/>
    <w:rsid w:val="0092209D"/>
    <w:rsid w:val="00923655"/>
    <w:rsid w:val="0092601D"/>
    <w:rsid w:val="0092610E"/>
    <w:rsid w:val="00931CF0"/>
    <w:rsid w:val="00931EC9"/>
    <w:rsid w:val="009322D7"/>
    <w:rsid w:val="0093267D"/>
    <w:rsid w:val="00936071"/>
    <w:rsid w:val="00937079"/>
    <w:rsid w:val="009376AF"/>
    <w:rsid w:val="009376CD"/>
    <w:rsid w:val="00940212"/>
    <w:rsid w:val="00942534"/>
    <w:rsid w:val="009428FC"/>
    <w:rsid w:val="00942AA6"/>
    <w:rsid w:val="00942EC2"/>
    <w:rsid w:val="00942F75"/>
    <w:rsid w:val="00944EC6"/>
    <w:rsid w:val="009504CA"/>
    <w:rsid w:val="009505D8"/>
    <w:rsid w:val="009508D2"/>
    <w:rsid w:val="00950B99"/>
    <w:rsid w:val="009519DD"/>
    <w:rsid w:val="00952941"/>
    <w:rsid w:val="0095343C"/>
    <w:rsid w:val="00955E64"/>
    <w:rsid w:val="00955FB6"/>
    <w:rsid w:val="0095778B"/>
    <w:rsid w:val="00961B32"/>
    <w:rsid w:val="00961E4E"/>
    <w:rsid w:val="00962455"/>
    <w:rsid w:val="00962509"/>
    <w:rsid w:val="009644C7"/>
    <w:rsid w:val="0096503D"/>
    <w:rsid w:val="00965A5D"/>
    <w:rsid w:val="00965B50"/>
    <w:rsid w:val="00965E6D"/>
    <w:rsid w:val="00966923"/>
    <w:rsid w:val="00970331"/>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7BF"/>
    <w:rsid w:val="009A0AF3"/>
    <w:rsid w:val="009A2434"/>
    <w:rsid w:val="009A2EEE"/>
    <w:rsid w:val="009A4269"/>
    <w:rsid w:val="009A4931"/>
    <w:rsid w:val="009A5858"/>
    <w:rsid w:val="009A642A"/>
    <w:rsid w:val="009B07CD"/>
    <w:rsid w:val="009B13FA"/>
    <w:rsid w:val="009B1D2C"/>
    <w:rsid w:val="009B26F6"/>
    <w:rsid w:val="009B44D7"/>
    <w:rsid w:val="009B5B82"/>
    <w:rsid w:val="009B647D"/>
    <w:rsid w:val="009B798E"/>
    <w:rsid w:val="009B7B06"/>
    <w:rsid w:val="009C19E9"/>
    <w:rsid w:val="009C4E57"/>
    <w:rsid w:val="009D5A5D"/>
    <w:rsid w:val="009D7467"/>
    <w:rsid w:val="009D74A6"/>
    <w:rsid w:val="009E0B98"/>
    <w:rsid w:val="009E0E87"/>
    <w:rsid w:val="009E2AA1"/>
    <w:rsid w:val="009E2DC5"/>
    <w:rsid w:val="009E5063"/>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17DC"/>
    <w:rsid w:val="00A1212C"/>
    <w:rsid w:val="00A12E91"/>
    <w:rsid w:val="00A13227"/>
    <w:rsid w:val="00A204CA"/>
    <w:rsid w:val="00A209D6"/>
    <w:rsid w:val="00A214AE"/>
    <w:rsid w:val="00A217ED"/>
    <w:rsid w:val="00A22738"/>
    <w:rsid w:val="00A23609"/>
    <w:rsid w:val="00A247E3"/>
    <w:rsid w:val="00A255A1"/>
    <w:rsid w:val="00A27DC6"/>
    <w:rsid w:val="00A31769"/>
    <w:rsid w:val="00A31B24"/>
    <w:rsid w:val="00A33817"/>
    <w:rsid w:val="00A33876"/>
    <w:rsid w:val="00A33FE1"/>
    <w:rsid w:val="00A352B0"/>
    <w:rsid w:val="00A369E2"/>
    <w:rsid w:val="00A36E3B"/>
    <w:rsid w:val="00A409FF"/>
    <w:rsid w:val="00A41829"/>
    <w:rsid w:val="00A430EC"/>
    <w:rsid w:val="00A4322F"/>
    <w:rsid w:val="00A4371D"/>
    <w:rsid w:val="00A44335"/>
    <w:rsid w:val="00A448B3"/>
    <w:rsid w:val="00A460A2"/>
    <w:rsid w:val="00A46165"/>
    <w:rsid w:val="00A4645A"/>
    <w:rsid w:val="00A466D4"/>
    <w:rsid w:val="00A47F02"/>
    <w:rsid w:val="00A53724"/>
    <w:rsid w:val="00A54B2B"/>
    <w:rsid w:val="00A60806"/>
    <w:rsid w:val="00A60A3B"/>
    <w:rsid w:val="00A612B5"/>
    <w:rsid w:val="00A62337"/>
    <w:rsid w:val="00A62E44"/>
    <w:rsid w:val="00A63251"/>
    <w:rsid w:val="00A64AFF"/>
    <w:rsid w:val="00A655F3"/>
    <w:rsid w:val="00A657D6"/>
    <w:rsid w:val="00A664C3"/>
    <w:rsid w:val="00A66BEB"/>
    <w:rsid w:val="00A70697"/>
    <w:rsid w:val="00A72629"/>
    <w:rsid w:val="00A7298F"/>
    <w:rsid w:val="00A73E09"/>
    <w:rsid w:val="00A745A3"/>
    <w:rsid w:val="00A75A4F"/>
    <w:rsid w:val="00A81760"/>
    <w:rsid w:val="00A82346"/>
    <w:rsid w:val="00A837A2"/>
    <w:rsid w:val="00A85656"/>
    <w:rsid w:val="00A85727"/>
    <w:rsid w:val="00A860CF"/>
    <w:rsid w:val="00A86C2F"/>
    <w:rsid w:val="00A90727"/>
    <w:rsid w:val="00A91596"/>
    <w:rsid w:val="00A92D94"/>
    <w:rsid w:val="00A9502C"/>
    <w:rsid w:val="00A9604A"/>
    <w:rsid w:val="00A9671C"/>
    <w:rsid w:val="00AA1553"/>
    <w:rsid w:val="00AA2A09"/>
    <w:rsid w:val="00AA3778"/>
    <w:rsid w:val="00AA3C87"/>
    <w:rsid w:val="00AA4F5A"/>
    <w:rsid w:val="00AA5A02"/>
    <w:rsid w:val="00AA610D"/>
    <w:rsid w:val="00AA6D24"/>
    <w:rsid w:val="00AB0A16"/>
    <w:rsid w:val="00AB1C4C"/>
    <w:rsid w:val="00AB20DF"/>
    <w:rsid w:val="00AB2C03"/>
    <w:rsid w:val="00AB2D6B"/>
    <w:rsid w:val="00AB3BEF"/>
    <w:rsid w:val="00AB3DDD"/>
    <w:rsid w:val="00AB3F87"/>
    <w:rsid w:val="00AB40FB"/>
    <w:rsid w:val="00AB4454"/>
    <w:rsid w:val="00AC507F"/>
    <w:rsid w:val="00AC6887"/>
    <w:rsid w:val="00AC7B98"/>
    <w:rsid w:val="00AD2C67"/>
    <w:rsid w:val="00AD3082"/>
    <w:rsid w:val="00AE5D2D"/>
    <w:rsid w:val="00AF062C"/>
    <w:rsid w:val="00AF1705"/>
    <w:rsid w:val="00AF1733"/>
    <w:rsid w:val="00AF1776"/>
    <w:rsid w:val="00AF371E"/>
    <w:rsid w:val="00AF649F"/>
    <w:rsid w:val="00AF6952"/>
    <w:rsid w:val="00AF7C5F"/>
    <w:rsid w:val="00B00572"/>
    <w:rsid w:val="00B0067D"/>
    <w:rsid w:val="00B01690"/>
    <w:rsid w:val="00B0385E"/>
    <w:rsid w:val="00B04A76"/>
    <w:rsid w:val="00B04EF9"/>
    <w:rsid w:val="00B051F0"/>
    <w:rsid w:val="00B05380"/>
    <w:rsid w:val="00B05962"/>
    <w:rsid w:val="00B059B8"/>
    <w:rsid w:val="00B06A2E"/>
    <w:rsid w:val="00B11EAC"/>
    <w:rsid w:val="00B12BA8"/>
    <w:rsid w:val="00B12C88"/>
    <w:rsid w:val="00B13A48"/>
    <w:rsid w:val="00B14B63"/>
    <w:rsid w:val="00B15449"/>
    <w:rsid w:val="00B157CB"/>
    <w:rsid w:val="00B15B76"/>
    <w:rsid w:val="00B16C2F"/>
    <w:rsid w:val="00B176C9"/>
    <w:rsid w:val="00B219D6"/>
    <w:rsid w:val="00B2602A"/>
    <w:rsid w:val="00B261CD"/>
    <w:rsid w:val="00B27303"/>
    <w:rsid w:val="00B27CAC"/>
    <w:rsid w:val="00B30F22"/>
    <w:rsid w:val="00B31F1F"/>
    <w:rsid w:val="00B334F9"/>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08"/>
    <w:rsid w:val="00B516BB"/>
    <w:rsid w:val="00B5212E"/>
    <w:rsid w:val="00B53DBA"/>
    <w:rsid w:val="00B54E39"/>
    <w:rsid w:val="00B55159"/>
    <w:rsid w:val="00B56329"/>
    <w:rsid w:val="00B56963"/>
    <w:rsid w:val="00B56D0D"/>
    <w:rsid w:val="00B576CD"/>
    <w:rsid w:val="00B606E6"/>
    <w:rsid w:val="00B61A4D"/>
    <w:rsid w:val="00B641DE"/>
    <w:rsid w:val="00B64CDF"/>
    <w:rsid w:val="00B657DE"/>
    <w:rsid w:val="00B65AA8"/>
    <w:rsid w:val="00B66368"/>
    <w:rsid w:val="00B6672E"/>
    <w:rsid w:val="00B66E42"/>
    <w:rsid w:val="00B70ACB"/>
    <w:rsid w:val="00B70D25"/>
    <w:rsid w:val="00B726D8"/>
    <w:rsid w:val="00B73674"/>
    <w:rsid w:val="00B7538C"/>
    <w:rsid w:val="00B7578C"/>
    <w:rsid w:val="00B76953"/>
    <w:rsid w:val="00B778CC"/>
    <w:rsid w:val="00B8075F"/>
    <w:rsid w:val="00B82F92"/>
    <w:rsid w:val="00B83613"/>
    <w:rsid w:val="00B84B49"/>
    <w:rsid w:val="00B84DB2"/>
    <w:rsid w:val="00B873FD"/>
    <w:rsid w:val="00B90662"/>
    <w:rsid w:val="00B9339B"/>
    <w:rsid w:val="00B9426D"/>
    <w:rsid w:val="00B96296"/>
    <w:rsid w:val="00B965D1"/>
    <w:rsid w:val="00B97CD3"/>
    <w:rsid w:val="00BA18CB"/>
    <w:rsid w:val="00BA457C"/>
    <w:rsid w:val="00BA55D1"/>
    <w:rsid w:val="00BA56A5"/>
    <w:rsid w:val="00BA576A"/>
    <w:rsid w:val="00BA73C6"/>
    <w:rsid w:val="00BB01EC"/>
    <w:rsid w:val="00BB12BA"/>
    <w:rsid w:val="00BB15DE"/>
    <w:rsid w:val="00BB1F15"/>
    <w:rsid w:val="00BB242A"/>
    <w:rsid w:val="00BB32F0"/>
    <w:rsid w:val="00BB3BBA"/>
    <w:rsid w:val="00BB4A3D"/>
    <w:rsid w:val="00BB6E2E"/>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6430"/>
    <w:rsid w:val="00BD730A"/>
    <w:rsid w:val="00BE034C"/>
    <w:rsid w:val="00BE07D3"/>
    <w:rsid w:val="00BE2A19"/>
    <w:rsid w:val="00BE63B4"/>
    <w:rsid w:val="00BE7698"/>
    <w:rsid w:val="00BF1069"/>
    <w:rsid w:val="00BF14F3"/>
    <w:rsid w:val="00BF3CBC"/>
    <w:rsid w:val="00BF4333"/>
    <w:rsid w:val="00BF4969"/>
    <w:rsid w:val="00BF74F8"/>
    <w:rsid w:val="00BF76C3"/>
    <w:rsid w:val="00C00351"/>
    <w:rsid w:val="00C00512"/>
    <w:rsid w:val="00C0069E"/>
    <w:rsid w:val="00C00C2D"/>
    <w:rsid w:val="00C0487D"/>
    <w:rsid w:val="00C04A27"/>
    <w:rsid w:val="00C04D24"/>
    <w:rsid w:val="00C058DE"/>
    <w:rsid w:val="00C060FE"/>
    <w:rsid w:val="00C07052"/>
    <w:rsid w:val="00C10451"/>
    <w:rsid w:val="00C11561"/>
    <w:rsid w:val="00C11F06"/>
    <w:rsid w:val="00C11FBC"/>
    <w:rsid w:val="00C128EC"/>
    <w:rsid w:val="00C12B51"/>
    <w:rsid w:val="00C12B99"/>
    <w:rsid w:val="00C12D51"/>
    <w:rsid w:val="00C14750"/>
    <w:rsid w:val="00C1493D"/>
    <w:rsid w:val="00C151D4"/>
    <w:rsid w:val="00C15547"/>
    <w:rsid w:val="00C15F03"/>
    <w:rsid w:val="00C1670C"/>
    <w:rsid w:val="00C16900"/>
    <w:rsid w:val="00C169CD"/>
    <w:rsid w:val="00C2061D"/>
    <w:rsid w:val="00C21AA8"/>
    <w:rsid w:val="00C23F90"/>
    <w:rsid w:val="00C243E1"/>
    <w:rsid w:val="00C24650"/>
    <w:rsid w:val="00C2481F"/>
    <w:rsid w:val="00C25465"/>
    <w:rsid w:val="00C2607C"/>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4DDE"/>
    <w:rsid w:val="00C650E5"/>
    <w:rsid w:val="00C6553E"/>
    <w:rsid w:val="00C66523"/>
    <w:rsid w:val="00C66D96"/>
    <w:rsid w:val="00C70DC4"/>
    <w:rsid w:val="00C72DC3"/>
    <w:rsid w:val="00C72DFB"/>
    <w:rsid w:val="00C760D4"/>
    <w:rsid w:val="00C76A1A"/>
    <w:rsid w:val="00C76B6B"/>
    <w:rsid w:val="00C7774F"/>
    <w:rsid w:val="00C779A7"/>
    <w:rsid w:val="00C77CFF"/>
    <w:rsid w:val="00C8133A"/>
    <w:rsid w:val="00C81DF7"/>
    <w:rsid w:val="00C82BA7"/>
    <w:rsid w:val="00C83895"/>
    <w:rsid w:val="00C83A13"/>
    <w:rsid w:val="00C844F8"/>
    <w:rsid w:val="00C85109"/>
    <w:rsid w:val="00C86F10"/>
    <w:rsid w:val="00C9068C"/>
    <w:rsid w:val="00C91562"/>
    <w:rsid w:val="00C91C85"/>
    <w:rsid w:val="00C91F36"/>
    <w:rsid w:val="00C92967"/>
    <w:rsid w:val="00C94794"/>
    <w:rsid w:val="00C963DC"/>
    <w:rsid w:val="00CA0FF2"/>
    <w:rsid w:val="00CA1359"/>
    <w:rsid w:val="00CA16DA"/>
    <w:rsid w:val="00CA24FC"/>
    <w:rsid w:val="00CA358C"/>
    <w:rsid w:val="00CA390E"/>
    <w:rsid w:val="00CA3D0C"/>
    <w:rsid w:val="00CA4156"/>
    <w:rsid w:val="00CA622F"/>
    <w:rsid w:val="00CA654B"/>
    <w:rsid w:val="00CA7092"/>
    <w:rsid w:val="00CB3154"/>
    <w:rsid w:val="00CB3556"/>
    <w:rsid w:val="00CB40C7"/>
    <w:rsid w:val="00CB4772"/>
    <w:rsid w:val="00CB66BC"/>
    <w:rsid w:val="00CB6B46"/>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7B23"/>
    <w:rsid w:val="00CE7B3F"/>
    <w:rsid w:val="00CF03B2"/>
    <w:rsid w:val="00CF12B2"/>
    <w:rsid w:val="00CF18CF"/>
    <w:rsid w:val="00CF1E1A"/>
    <w:rsid w:val="00CF2228"/>
    <w:rsid w:val="00CF2423"/>
    <w:rsid w:val="00CF4D95"/>
    <w:rsid w:val="00CF73D9"/>
    <w:rsid w:val="00CF7D2F"/>
    <w:rsid w:val="00D011CA"/>
    <w:rsid w:val="00D020FC"/>
    <w:rsid w:val="00D02A15"/>
    <w:rsid w:val="00D04CB9"/>
    <w:rsid w:val="00D06125"/>
    <w:rsid w:val="00D06188"/>
    <w:rsid w:val="00D10336"/>
    <w:rsid w:val="00D10DB1"/>
    <w:rsid w:val="00D10DE1"/>
    <w:rsid w:val="00D12DDB"/>
    <w:rsid w:val="00D1769D"/>
    <w:rsid w:val="00D20962"/>
    <w:rsid w:val="00D24C0D"/>
    <w:rsid w:val="00D260D6"/>
    <w:rsid w:val="00D30C9E"/>
    <w:rsid w:val="00D33400"/>
    <w:rsid w:val="00D33BE3"/>
    <w:rsid w:val="00D3498F"/>
    <w:rsid w:val="00D34E2B"/>
    <w:rsid w:val="00D35DEB"/>
    <w:rsid w:val="00D36C63"/>
    <w:rsid w:val="00D3792D"/>
    <w:rsid w:val="00D43014"/>
    <w:rsid w:val="00D43486"/>
    <w:rsid w:val="00D43FB4"/>
    <w:rsid w:val="00D44A8A"/>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658"/>
    <w:rsid w:val="00D64B1C"/>
    <w:rsid w:val="00D6517A"/>
    <w:rsid w:val="00D65257"/>
    <w:rsid w:val="00D65EA7"/>
    <w:rsid w:val="00D67CD1"/>
    <w:rsid w:val="00D7022F"/>
    <w:rsid w:val="00D71FEB"/>
    <w:rsid w:val="00D727AF"/>
    <w:rsid w:val="00D727BD"/>
    <w:rsid w:val="00D72C64"/>
    <w:rsid w:val="00D73564"/>
    <w:rsid w:val="00D738D6"/>
    <w:rsid w:val="00D75E98"/>
    <w:rsid w:val="00D76809"/>
    <w:rsid w:val="00D80548"/>
    <w:rsid w:val="00D80795"/>
    <w:rsid w:val="00D841FB"/>
    <w:rsid w:val="00D843A6"/>
    <w:rsid w:val="00D84639"/>
    <w:rsid w:val="00D854BE"/>
    <w:rsid w:val="00D86576"/>
    <w:rsid w:val="00D87009"/>
    <w:rsid w:val="00D87E00"/>
    <w:rsid w:val="00D9134D"/>
    <w:rsid w:val="00D915D5"/>
    <w:rsid w:val="00D92DA4"/>
    <w:rsid w:val="00D93832"/>
    <w:rsid w:val="00D93914"/>
    <w:rsid w:val="00D94743"/>
    <w:rsid w:val="00D96D11"/>
    <w:rsid w:val="00DA10E0"/>
    <w:rsid w:val="00DA29BD"/>
    <w:rsid w:val="00DA3177"/>
    <w:rsid w:val="00DA3414"/>
    <w:rsid w:val="00DA4D63"/>
    <w:rsid w:val="00DA6127"/>
    <w:rsid w:val="00DA62FF"/>
    <w:rsid w:val="00DA7A03"/>
    <w:rsid w:val="00DB0C97"/>
    <w:rsid w:val="00DB0DB8"/>
    <w:rsid w:val="00DB159F"/>
    <w:rsid w:val="00DB1818"/>
    <w:rsid w:val="00DB1F9F"/>
    <w:rsid w:val="00DB372C"/>
    <w:rsid w:val="00DB3918"/>
    <w:rsid w:val="00DB546B"/>
    <w:rsid w:val="00DB5ED2"/>
    <w:rsid w:val="00DB6FD1"/>
    <w:rsid w:val="00DB74A8"/>
    <w:rsid w:val="00DC17CF"/>
    <w:rsid w:val="00DC309B"/>
    <w:rsid w:val="00DC3ED9"/>
    <w:rsid w:val="00DC44E4"/>
    <w:rsid w:val="00DC4DA2"/>
    <w:rsid w:val="00DC5261"/>
    <w:rsid w:val="00DC6A61"/>
    <w:rsid w:val="00DC75FA"/>
    <w:rsid w:val="00DD0592"/>
    <w:rsid w:val="00DD3480"/>
    <w:rsid w:val="00DD3D8B"/>
    <w:rsid w:val="00DD5188"/>
    <w:rsid w:val="00DD5AB7"/>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38B6"/>
    <w:rsid w:val="00DF3AC7"/>
    <w:rsid w:val="00DF3BFA"/>
    <w:rsid w:val="00DF4645"/>
    <w:rsid w:val="00DF4767"/>
    <w:rsid w:val="00DF6FFA"/>
    <w:rsid w:val="00DF7834"/>
    <w:rsid w:val="00DF7FB9"/>
    <w:rsid w:val="00E00D16"/>
    <w:rsid w:val="00E0132C"/>
    <w:rsid w:val="00E014FB"/>
    <w:rsid w:val="00E02228"/>
    <w:rsid w:val="00E0267E"/>
    <w:rsid w:val="00E02A89"/>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36AC"/>
    <w:rsid w:val="00E33D12"/>
    <w:rsid w:val="00E347A7"/>
    <w:rsid w:val="00E3548E"/>
    <w:rsid w:val="00E364FC"/>
    <w:rsid w:val="00E36742"/>
    <w:rsid w:val="00E37465"/>
    <w:rsid w:val="00E37D93"/>
    <w:rsid w:val="00E37E4F"/>
    <w:rsid w:val="00E4160B"/>
    <w:rsid w:val="00E41B53"/>
    <w:rsid w:val="00E41C0F"/>
    <w:rsid w:val="00E436A8"/>
    <w:rsid w:val="00E44374"/>
    <w:rsid w:val="00E45739"/>
    <w:rsid w:val="00E46C08"/>
    <w:rsid w:val="00E471CF"/>
    <w:rsid w:val="00E47979"/>
    <w:rsid w:val="00E5158F"/>
    <w:rsid w:val="00E51759"/>
    <w:rsid w:val="00E52578"/>
    <w:rsid w:val="00E53ED5"/>
    <w:rsid w:val="00E54A76"/>
    <w:rsid w:val="00E55148"/>
    <w:rsid w:val="00E609A3"/>
    <w:rsid w:val="00E61790"/>
    <w:rsid w:val="00E61AD1"/>
    <w:rsid w:val="00E62835"/>
    <w:rsid w:val="00E62BC9"/>
    <w:rsid w:val="00E64CAE"/>
    <w:rsid w:val="00E65A87"/>
    <w:rsid w:val="00E66ABA"/>
    <w:rsid w:val="00E67116"/>
    <w:rsid w:val="00E7096B"/>
    <w:rsid w:val="00E73F5C"/>
    <w:rsid w:val="00E740F1"/>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8762A"/>
    <w:rsid w:val="00E92D09"/>
    <w:rsid w:val="00E9441C"/>
    <w:rsid w:val="00E94D28"/>
    <w:rsid w:val="00E9509D"/>
    <w:rsid w:val="00E96CD0"/>
    <w:rsid w:val="00E96F95"/>
    <w:rsid w:val="00E9785A"/>
    <w:rsid w:val="00EA0EF4"/>
    <w:rsid w:val="00EA12F9"/>
    <w:rsid w:val="00EA3E27"/>
    <w:rsid w:val="00EA5A15"/>
    <w:rsid w:val="00EA5F09"/>
    <w:rsid w:val="00EA63B0"/>
    <w:rsid w:val="00EA66C9"/>
    <w:rsid w:val="00EA715F"/>
    <w:rsid w:val="00EB05E6"/>
    <w:rsid w:val="00EB06B2"/>
    <w:rsid w:val="00EB378C"/>
    <w:rsid w:val="00EB37D5"/>
    <w:rsid w:val="00EB4E14"/>
    <w:rsid w:val="00EB51E6"/>
    <w:rsid w:val="00EB56A0"/>
    <w:rsid w:val="00EB5A68"/>
    <w:rsid w:val="00EC0712"/>
    <w:rsid w:val="00EC0B2A"/>
    <w:rsid w:val="00EC2128"/>
    <w:rsid w:val="00EC230D"/>
    <w:rsid w:val="00EC340C"/>
    <w:rsid w:val="00EC4A25"/>
    <w:rsid w:val="00EC4A4C"/>
    <w:rsid w:val="00EC5498"/>
    <w:rsid w:val="00EC5E45"/>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37"/>
    <w:rsid w:val="00EE00AC"/>
    <w:rsid w:val="00EE17B2"/>
    <w:rsid w:val="00EE5AAD"/>
    <w:rsid w:val="00EE5F79"/>
    <w:rsid w:val="00EE671D"/>
    <w:rsid w:val="00EE77F9"/>
    <w:rsid w:val="00EE7869"/>
    <w:rsid w:val="00EF0C39"/>
    <w:rsid w:val="00EF0DB9"/>
    <w:rsid w:val="00EF1130"/>
    <w:rsid w:val="00EF1EC1"/>
    <w:rsid w:val="00EF2183"/>
    <w:rsid w:val="00EF3CE8"/>
    <w:rsid w:val="00EF4BDC"/>
    <w:rsid w:val="00EF612C"/>
    <w:rsid w:val="00EF721C"/>
    <w:rsid w:val="00F004A2"/>
    <w:rsid w:val="00F00A10"/>
    <w:rsid w:val="00F00CE0"/>
    <w:rsid w:val="00F0168F"/>
    <w:rsid w:val="00F01C6C"/>
    <w:rsid w:val="00F01C7D"/>
    <w:rsid w:val="00F025A2"/>
    <w:rsid w:val="00F036E9"/>
    <w:rsid w:val="00F043D1"/>
    <w:rsid w:val="00F049B2"/>
    <w:rsid w:val="00F0645D"/>
    <w:rsid w:val="00F06D51"/>
    <w:rsid w:val="00F07388"/>
    <w:rsid w:val="00F07939"/>
    <w:rsid w:val="00F1232B"/>
    <w:rsid w:val="00F12DE6"/>
    <w:rsid w:val="00F141DF"/>
    <w:rsid w:val="00F14291"/>
    <w:rsid w:val="00F159AD"/>
    <w:rsid w:val="00F15C52"/>
    <w:rsid w:val="00F1602C"/>
    <w:rsid w:val="00F177BD"/>
    <w:rsid w:val="00F17888"/>
    <w:rsid w:val="00F2026E"/>
    <w:rsid w:val="00F20AA3"/>
    <w:rsid w:val="00F21514"/>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3A52"/>
    <w:rsid w:val="00F44DF5"/>
    <w:rsid w:val="00F463C0"/>
    <w:rsid w:val="00F46B11"/>
    <w:rsid w:val="00F46F23"/>
    <w:rsid w:val="00F50D90"/>
    <w:rsid w:val="00F521FD"/>
    <w:rsid w:val="00F52DE9"/>
    <w:rsid w:val="00F54A3D"/>
    <w:rsid w:val="00F54CB0"/>
    <w:rsid w:val="00F54F07"/>
    <w:rsid w:val="00F55286"/>
    <w:rsid w:val="00F56531"/>
    <w:rsid w:val="00F571A8"/>
    <w:rsid w:val="00F579CD"/>
    <w:rsid w:val="00F57CAB"/>
    <w:rsid w:val="00F633B4"/>
    <w:rsid w:val="00F653B8"/>
    <w:rsid w:val="00F6567E"/>
    <w:rsid w:val="00F664AC"/>
    <w:rsid w:val="00F701EF"/>
    <w:rsid w:val="00F71B89"/>
    <w:rsid w:val="00F72021"/>
    <w:rsid w:val="00F72EC3"/>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48F7"/>
    <w:rsid w:val="00FA5E31"/>
    <w:rsid w:val="00FB22A3"/>
    <w:rsid w:val="00FB36FA"/>
    <w:rsid w:val="00FB3A4D"/>
    <w:rsid w:val="00FB5272"/>
    <w:rsid w:val="00FB6501"/>
    <w:rsid w:val="00FB6F30"/>
    <w:rsid w:val="00FB7597"/>
    <w:rsid w:val="00FC1192"/>
    <w:rsid w:val="00FC2F18"/>
    <w:rsid w:val="00FC371B"/>
    <w:rsid w:val="00FC3F63"/>
    <w:rsid w:val="00FC4291"/>
    <w:rsid w:val="00FC6633"/>
    <w:rsid w:val="00FC69D6"/>
    <w:rsid w:val="00FC7E40"/>
    <w:rsid w:val="00FD0A57"/>
    <w:rsid w:val="00FD4C8B"/>
    <w:rsid w:val="00FD6636"/>
    <w:rsid w:val="00FD6EDB"/>
    <w:rsid w:val="00FD70B9"/>
    <w:rsid w:val="00FE106D"/>
    <w:rsid w:val="00FE12EB"/>
    <w:rsid w:val="00FE1ACC"/>
    <w:rsid w:val="00FE1C0F"/>
    <w:rsid w:val="00FE251B"/>
    <w:rsid w:val="00FE361A"/>
    <w:rsid w:val="00FE3D07"/>
    <w:rsid w:val="00FE520E"/>
    <w:rsid w:val="00FE6612"/>
    <w:rsid w:val="00FE68AA"/>
    <w:rsid w:val="00FF25A8"/>
    <w:rsid w:val="00FF2CDC"/>
    <w:rsid w:val="00FF42C3"/>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 w:type="paragraph" w:customStyle="1" w:styleId="BL">
    <w:name w:val="BL"/>
    <w:basedOn w:val="Normal"/>
    <w:rsid w:val="00C0069E"/>
    <w:pPr>
      <w:widowControl w:val="0"/>
      <w:tabs>
        <w:tab w:val="left" w:pos="851"/>
        <w:tab w:val="right" w:pos="10260"/>
      </w:tabs>
      <w:overflowPunct w:val="0"/>
      <w:autoSpaceDE w:val="0"/>
      <w:autoSpaceDN w:val="0"/>
      <w:adjustRightInd w:val="0"/>
      <w:ind w:left="851" w:right="612" w:hanging="283"/>
      <w:jc w:val="both"/>
      <w:textAlignment w:val="baseline"/>
    </w:pPr>
    <w:rPr>
      <w:rFonts w:eastAsia="Times New Roman" w:cs="Times New Roman"/>
      <w:b/>
      <w:szCs w:val="20"/>
      <w:lang w:val="en-GB"/>
    </w:rPr>
  </w:style>
  <w:style w:type="paragraph" w:customStyle="1" w:styleId="Agreement">
    <w:name w:val="Agreement"/>
    <w:basedOn w:val="Normal"/>
    <w:next w:val="Doc-text2"/>
    <w:uiPriority w:val="99"/>
    <w:qFormat/>
    <w:rsid w:val="00494952"/>
    <w:pPr>
      <w:numPr>
        <w:numId w:val="26"/>
      </w:numPr>
      <w:tabs>
        <w:tab w:val="clear" w:pos="3620"/>
        <w:tab w:val="num" w:pos="1619"/>
      </w:tabs>
      <w:spacing w:before="60" w:after="0"/>
      <w:ind w:left="1619"/>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3545515">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96C0C-BE3C-4C83-8C9C-85A8B8D45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1197</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2024-05-10T05:14:00Z</dcterms:created>
  <dcterms:modified xsi:type="dcterms:W3CDTF">2024-05-10T05:17:00Z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